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28644" w14:textId="67503A98" w:rsidR="00656324" w:rsidRPr="0052548E" w:rsidRDefault="00656324" w:rsidP="0065632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719649</w:t>
      </w:r>
    </w:p>
    <w:p w14:paraId="2D55842B" w14:textId="77777777" w:rsidR="00656324" w:rsidRPr="009513AC" w:rsidRDefault="00656324" w:rsidP="00656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14:paraId="63171DAA" w14:textId="77777777" w:rsidR="00A56D69" w:rsidRPr="000A64D8" w:rsidRDefault="00A56D69" w:rsidP="00A56D69">
      <w:pPr>
        <w:pStyle w:val="Footer"/>
        <w:jc w:val="both"/>
        <w:rPr>
          <w:noProof w:val="0"/>
        </w:rPr>
      </w:pPr>
    </w:p>
    <w:p w14:paraId="08D9E06C" w14:textId="77777777"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D5904">
        <w:rPr>
          <w:rFonts w:ascii="Arial" w:hAnsi="Arial"/>
          <w:sz w:val="24"/>
        </w:rPr>
        <w:t>7</w:t>
      </w:r>
      <w:r w:rsidR="00F652BF" w:rsidRPr="00F652BF">
        <w:rPr>
          <w:rFonts w:ascii="Arial" w:hAnsi="Arial"/>
          <w:sz w:val="24"/>
        </w:rPr>
        <w:t>.3.3.3</w:t>
      </w:r>
      <w:r>
        <w:rPr>
          <w:rFonts w:ascii="Arial" w:hAnsi="Arial"/>
          <w:sz w:val="24"/>
        </w:rPr>
        <w:tab/>
      </w:r>
    </w:p>
    <w:p w14:paraId="298344A9" w14:textId="77777777"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14:paraId="2BEDCE6E" w14:textId="5168C10B"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90AC8" w:rsidRPr="00C90AC8">
        <w:rPr>
          <w:rFonts w:ascii="Arial" w:hAnsi="Arial"/>
          <w:sz w:val="22"/>
        </w:rPr>
        <w:t>Remaining details of CBG based transmission</w:t>
      </w:r>
    </w:p>
    <w:p w14:paraId="5D150CEE" w14:textId="77777777"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14:paraId="0B9DDE6E" w14:textId="77777777" w:rsidR="001D7377" w:rsidRPr="00183CB7" w:rsidRDefault="001D7377" w:rsidP="001D7377">
      <w:pPr>
        <w:pStyle w:val="Heading1"/>
      </w:pPr>
      <w:r w:rsidRPr="00183CB7">
        <w:t>Introduction</w:t>
      </w:r>
    </w:p>
    <w:p w14:paraId="426ADEE1" w14:textId="77777777"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14:paraId="18F52B11" w14:textId="77777777"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14:paraId="02AC3DF6" w14:textId="77777777" w:rsidR="00F5337B" w:rsidRPr="007E1F1B" w:rsidRDefault="00F5337B" w:rsidP="00F5337B">
      <w:pPr>
        <w:numPr>
          <w:ilvl w:val="0"/>
          <w:numId w:val="21"/>
        </w:numPr>
        <w:overflowPunct/>
        <w:autoSpaceDE/>
        <w:autoSpaceDN/>
        <w:adjustRightInd/>
        <w:spacing w:after="0"/>
        <w:textAlignment w:val="auto"/>
        <w:rPr>
          <w:sz w:val="24"/>
        </w:rPr>
      </w:pPr>
      <w:r w:rsidRPr="007E1F1B">
        <w:rPr>
          <w:sz w:val="24"/>
        </w:rPr>
        <w:t>In single CW configuration, the maximum configurable number of CBGs per TB is 8</w:t>
      </w:r>
    </w:p>
    <w:p w14:paraId="24D1BFB0" w14:textId="77777777" w:rsidR="00F5337B" w:rsidRPr="007E1F1B" w:rsidRDefault="00F5337B" w:rsidP="00F5337B">
      <w:pPr>
        <w:numPr>
          <w:ilvl w:val="0"/>
          <w:numId w:val="21"/>
        </w:numPr>
        <w:overflowPunct/>
        <w:autoSpaceDE/>
        <w:autoSpaceDN/>
        <w:adjustRightInd/>
        <w:spacing w:after="0"/>
        <w:textAlignment w:val="auto"/>
        <w:rPr>
          <w:sz w:val="24"/>
        </w:rPr>
      </w:pPr>
      <w:r w:rsidRPr="007E1F1B">
        <w:rPr>
          <w:sz w:val="24"/>
        </w:rPr>
        <w:t>The possible max number of CBGs per TB is 2, 4, 6, 8</w:t>
      </w:r>
    </w:p>
    <w:p w14:paraId="1DB39B0F" w14:textId="77777777" w:rsidR="00F5337B" w:rsidRPr="007E1F1B" w:rsidRDefault="00F5337B" w:rsidP="00F5337B">
      <w:pPr>
        <w:numPr>
          <w:ilvl w:val="0"/>
          <w:numId w:val="21"/>
        </w:numPr>
        <w:overflowPunct/>
        <w:autoSpaceDE/>
        <w:autoSpaceDN/>
        <w:adjustRightInd/>
        <w:spacing w:after="0"/>
        <w:textAlignment w:val="auto"/>
        <w:rPr>
          <w:sz w:val="24"/>
          <w:lang w:eastAsia="x-none"/>
        </w:rPr>
      </w:pPr>
      <w:r w:rsidRPr="007E1F1B">
        <w:rPr>
          <w:bCs/>
          <w:sz w:val="24"/>
          <w:lang w:eastAsia="x-none"/>
        </w:rPr>
        <w:t>In multiple CW configuration, the maximum configurable number of CBGs per TB is 4</w:t>
      </w:r>
    </w:p>
    <w:p w14:paraId="0E5049F2" w14:textId="77777777" w:rsidR="00F5337B" w:rsidRPr="0091777A" w:rsidRDefault="00F5337B" w:rsidP="00F5337B">
      <w:pPr>
        <w:numPr>
          <w:ilvl w:val="0"/>
          <w:numId w:val="21"/>
        </w:numPr>
        <w:overflowPunct/>
        <w:autoSpaceDE/>
        <w:autoSpaceDN/>
        <w:adjustRightInd/>
        <w:spacing w:after="0"/>
        <w:textAlignment w:val="auto"/>
        <w:rPr>
          <w:lang w:eastAsia="x-none"/>
        </w:rPr>
      </w:pPr>
      <w:r w:rsidRPr="007E1F1B">
        <w:rPr>
          <w:bCs/>
          <w:sz w:val="24"/>
          <w:lang w:eastAsia="x-none"/>
        </w:rPr>
        <w:t xml:space="preserve">In multiple CW configuration, the configured maximum number of CBGs per TB is the same between TBs </w:t>
      </w:r>
    </w:p>
    <w:p w14:paraId="247C32ED" w14:textId="77777777" w:rsidR="00F5337B" w:rsidRPr="007E1F1B" w:rsidRDefault="00F5337B" w:rsidP="00F5337B">
      <w:pPr>
        <w:rPr>
          <w:b/>
          <w:sz w:val="24"/>
          <w:u w:val="single"/>
        </w:rPr>
      </w:pPr>
      <w:r w:rsidRPr="007E1F1B">
        <w:rPr>
          <w:b/>
          <w:sz w:val="24"/>
          <w:highlight w:val="green"/>
          <w:u w:val="single"/>
        </w:rPr>
        <w:t>Agreements</w:t>
      </w:r>
      <w:r w:rsidRPr="007E1F1B">
        <w:rPr>
          <w:b/>
          <w:sz w:val="24"/>
          <w:u w:val="single"/>
        </w:rPr>
        <w:t>:</w:t>
      </w:r>
    </w:p>
    <w:p w14:paraId="4BBA80AB" w14:textId="77777777" w:rsidR="00F5337B" w:rsidRPr="007E1F1B" w:rsidRDefault="00F5337B" w:rsidP="00F5337B">
      <w:pPr>
        <w:numPr>
          <w:ilvl w:val="0"/>
          <w:numId w:val="22"/>
        </w:numPr>
        <w:overflowPunct/>
        <w:autoSpaceDE/>
        <w:autoSpaceDN/>
        <w:adjustRightInd/>
        <w:spacing w:after="0"/>
        <w:textAlignment w:val="auto"/>
        <w:rPr>
          <w:sz w:val="24"/>
          <w:lang w:eastAsia="x-none"/>
        </w:rPr>
      </w:pPr>
      <w:r w:rsidRPr="007E1F1B">
        <w:rPr>
          <w:bCs/>
          <w:sz w:val="24"/>
          <w:lang w:eastAsia="x-none"/>
        </w:rPr>
        <w:t>For the case when the semi-static HARQ-ACK codebook with HARQ-ACK multiplexing which includes HARQ-ACK corresponding to all the CBGs (including the non-scheduled CBG(s)) is used,</w:t>
      </w:r>
    </w:p>
    <w:p w14:paraId="4CE70067" w14:textId="77777777" w:rsidR="00F5337B" w:rsidRPr="007E1F1B" w:rsidRDefault="00F5337B" w:rsidP="00F5337B">
      <w:pPr>
        <w:numPr>
          <w:ilvl w:val="1"/>
          <w:numId w:val="22"/>
        </w:numPr>
        <w:overflowPunct/>
        <w:autoSpaceDE/>
        <w:autoSpaceDN/>
        <w:adjustRightInd/>
        <w:spacing w:after="0"/>
        <w:textAlignment w:val="auto"/>
        <w:rPr>
          <w:sz w:val="24"/>
          <w:lang w:eastAsia="x-none"/>
        </w:rPr>
      </w:pPr>
      <w:r w:rsidRPr="007E1F1B">
        <w:rPr>
          <w:bCs/>
          <w:sz w:val="24"/>
          <w:lang w:eastAsia="x-none"/>
        </w:rPr>
        <w:t>NACK is reported for all the CBGs if TB CRC check is not passed while CB CRC check is passed for all the CBs</w:t>
      </w:r>
    </w:p>
    <w:p w14:paraId="550758EB" w14:textId="77777777" w:rsidR="00F5337B" w:rsidRPr="007E1F1B" w:rsidRDefault="00F5337B" w:rsidP="00F5337B">
      <w:pPr>
        <w:numPr>
          <w:ilvl w:val="1"/>
          <w:numId w:val="22"/>
        </w:numPr>
        <w:overflowPunct/>
        <w:autoSpaceDE/>
        <w:autoSpaceDN/>
        <w:adjustRightInd/>
        <w:spacing w:after="0"/>
        <w:textAlignment w:val="auto"/>
        <w:rPr>
          <w:sz w:val="24"/>
          <w:lang w:eastAsia="x-none"/>
        </w:rPr>
      </w:pPr>
      <w:r w:rsidRPr="007E1F1B">
        <w:rPr>
          <w:bCs/>
          <w:sz w:val="24"/>
          <w:lang w:eastAsia="x-none"/>
        </w:rPr>
        <w:t>NACK is mapped for the empty CBG index if the number of CBs for a TB is smaller than the configured maximum number of CBGs</w:t>
      </w:r>
    </w:p>
    <w:p w14:paraId="735D3ED7" w14:textId="77777777" w:rsidR="00F5337B" w:rsidRPr="007E1F1B" w:rsidRDefault="00F5337B" w:rsidP="00F5337B">
      <w:pPr>
        <w:rPr>
          <w:b/>
          <w:sz w:val="24"/>
          <w:u w:val="single"/>
          <w:lang w:eastAsia="x-none"/>
        </w:rPr>
      </w:pPr>
      <w:r w:rsidRPr="007E1F1B">
        <w:rPr>
          <w:b/>
          <w:sz w:val="24"/>
          <w:highlight w:val="green"/>
          <w:u w:val="single"/>
          <w:lang w:eastAsia="x-none"/>
        </w:rPr>
        <w:t>Agreements</w:t>
      </w:r>
      <w:r w:rsidRPr="007E1F1B">
        <w:rPr>
          <w:b/>
          <w:sz w:val="24"/>
          <w:u w:val="single"/>
          <w:lang w:eastAsia="x-none"/>
        </w:rPr>
        <w:t>:</w:t>
      </w:r>
    </w:p>
    <w:p w14:paraId="5B40B444" w14:textId="77777777" w:rsidR="00F5337B" w:rsidRPr="007E1F1B" w:rsidRDefault="00F5337B" w:rsidP="00F5337B">
      <w:pPr>
        <w:numPr>
          <w:ilvl w:val="0"/>
          <w:numId w:val="23"/>
        </w:numPr>
        <w:overflowPunct/>
        <w:autoSpaceDE/>
        <w:autoSpaceDN/>
        <w:adjustRightInd/>
        <w:spacing w:after="0"/>
        <w:textAlignment w:val="auto"/>
        <w:rPr>
          <w:sz w:val="24"/>
          <w:lang w:eastAsia="x-none"/>
        </w:rPr>
      </w:pPr>
      <w:r w:rsidRPr="007E1F1B">
        <w:rPr>
          <w:bCs/>
          <w:sz w:val="24"/>
          <w:lang w:eastAsia="x-none"/>
        </w:rPr>
        <w:t>When UE is configured with CBG based retransmission, for the PDSCH scheduled by PDCCH using fallback DCI, TB level HARQ-ACK feedback is used at least for the case without HARQ-ACK multiplexing</w:t>
      </w:r>
    </w:p>
    <w:p w14:paraId="5C507FC6" w14:textId="77777777" w:rsidR="00F5337B" w:rsidRPr="007E1F1B" w:rsidRDefault="00F5337B" w:rsidP="00F5337B">
      <w:pPr>
        <w:numPr>
          <w:ilvl w:val="1"/>
          <w:numId w:val="23"/>
        </w:numPr>
        <w:overflowPunct/>
        <w:autoSpaceDE/>
        <w:autoSpaceDN/>
        <w:adjustRightInd/>
        <w:spacing w:after="0"/>
        <w:textAlignment w:val="auto"/>
        <w:rPr>
          <w:sz w:val="24"/>
          <w:lang w:eastAsia="x-none"/>
        </w:rPr>
      </w:pPr>
      <w:r w:rsidRPr="007E1F1B">
        <w:rPr>
          <w:bCs/>
          <w:sz w:val="24"/>
          <w:lang w:eastAsia="x-none"/>
        </w:rPr>
        <w:t>FFS whether this operation is applied even for the case with HARQ-ACK multiplexing</w:t>
      </w:r>
    </w:p>
    <w:p w14:paraId="7A98DA57" w14:textId="6AC18D52" w:rsidR="00F10225" w:rsidRDefault="00F5337B" w:rsidP="00A47192">
      <w:pPr>
        <w:numPr>
          <w:ilvl w:val="1"/>
          <w:numId w:val="23"/>
        </w:numPr>
        <w:overflowPunct/>
        <w:autoSpaceDE/>
        <w:autoSpaceDN/>
        <w:adjustRightInd/>
        <w:spacing w:after="0"/>
        <w:textAlignment w:val="auto"/>
        <w:rPr>
          <w:sz w:val="24"/>
          <w:lang w:eastAsia="x-none"/>
        </w:rPr>
      </w:pPr>
      <w:r w:rsidRPr="007E1F1B">
        <w:rPr>
          <w:bCs/>
          <w:sz w:val="24"/>
          <w:lang w:eastAsia="x-none"/>
        </w:rPr>
        <w:t>Note: this means that fallback DCI does not support CBG level HARQ-ACK feedback</w:t>
      </w:r>
    </w:p>
    <w:p w14:paraId="1CCDAD05" w14:textId="77777777" w:rsidR="00A47192" w:rsidRDefault="00A47192" w:rsidP="00A47192">
      <w:pPr>
        <w:overflowPunct/>
        <w:autoSpaceDE/>
        <w:autoSpaceDN/>
        <w:adjustRightInd/>
        <w:spacing w:after="0"/>
        <w:textAlignment w:val="auto"/>
        <w:rPr>
          <w:sz w:val="24"/>
          <w:lang w:eastAsia="x-none"/>
        </w:rPr>
      </w:pPr>
    </w:p>
    <w:p w14:paraId="4A9B7D1D" w14:textId="77777777" w:rsidR="00A47192" w:rsidRPr="00A47192" w:rsidRDefault="00A47192" w:rsidP="00A47192">
      <w:pPr>
        <w:rPr>
          <w:rFonts w:cs="Times"/>
          <w:b/>
          <w:sz w:val="24"/>
          <w:u w:val="single"/>
        </w:rPr>
      </w:pPr>
      <w:r w:rsidRPr="00A47192">
        <w:rPr>
          <w:rFonts w:cs="Times"/>
          <w:b/>
          <w:sz w:val="24"/>
          <w:highlight w:val="green"/>
          <w:u w:val="single"/>
        </w:rPr>
        <w:t>Agreements:</w:t>
      </w:r>
    </w:p>
    <w:p w14:paraId="4A1B8E7C" w14:textId="77777777" w:rsidR="00A47192" w:rsidRPr="00A47192" w:rsidRDefault="00A47192" w:rsidP="00A47192">
      <w:pPr>
        <w:numPr>
          <w:ilvl w:val="0"/>
          <w:numId w:val="24"/>
        </w:numPr>
        <w:overflowPunct/>
        <w:autoSpaceDE/>
        <w:autoSpaceDN/>
        <w:adjustRightInd/>
        <w:spacing w:after="0"/>
        <w:textAlignment w:val="auto"/>
        <w:rPr>
          <w:rFonts w:cs="Times"/>
          <w:sz w:val="24"/>
        </w:rPr>
      </w:pPr>
      <w:r w:rsidRPr="00A47192">
        <w:rPr>
          <w:rFonts w:cs="Times"/>
          <w:sz w:val="24"/>
        </w:rPr>
        <w:t>In case configured with CBG based retransmission, CBGTI, CBGFI, and NDI are separately indicated in the same DCI.</w:t>
      </w:r>
    </w:p>
    <w:p w14:paraId="1E3619CB" w14:textId="77777777" w:rsidR="00A47192" w:rsidRPr="00A47192" w:rsidRDefault="00A47192" w:rsidP="00A47192">
      <w:pPr>
        <w:numPr>
          <w:ilvl w:val="0"/>
          <w:numId w:val="24"/>
        </w:numPr>
        <w:overflowPunct/>
        <w:autoSpaceDE/>
        <w:autoSpaceDN/>
        <w:adjustRightInd/>
        <w:spacing w:after="0"/>
        <w:textAlignment w:val="auto"/>
        <w:rPr>
          <w:rFonts w:cs="Times"/>
          <w:sz w:val="24"/>
        </w:rPr>
      </w:pPr>
      <w:r w:rsidRPr="00A47192">
        <w:rPr>
          <w:rFonts w:cs="Times"/>
          <w:sz w:val="24"/>
        </w:rPr>
        <w:t xml:space="preserve">In case with CBG based retransmission and multiple CW configuration, single CBGFI is indicated in DCI and commonly applied for both two TBs. </w:t>
      </w:r>
    </w:p>
    <w:p w14:paraId="1C88460F" w14:textId="77777777" w:rsidR="00A47192" w:rsidRPr="00A47192" w:rsidRDefault="00A47192" w:rsidP="00A47192">
      <w:pPr>
        <w:numPr>
          <w:ilvl w:val="0"/>
          <w:numId w:val="24"/>
        </w:numPr>
        <w:overflowPunct/>
        <w:autoSpaceDE/>
        <w:autoSpaceDN/>
        <w:adjustRightInd/>
        <w:spacing w:after="0"/>
        <w:textAlignment w:val="auto"/>
        <w:rPr>
          <w:rFonts w:cs="Times"/>
          <w:sz w:val="24"/>
        </w:rPr>
      </w:pPr>
      <w:r w:rsidRPr="00A47192">
        <w:rPr>
          <w:rFonts w:cs="Times"/>
          <w:sz w:val="24"/>
        </w:rPr>
        <w:t xml:space="preserve">Discuss further on the detailed DCI composition for CBG based retransmission such as reinterpretation of MCS/TBS field to CBGTI. </w:t>
      </w:r>
    </w:p>
    <w:p w14:paraId="32F4619A" w14:textId="77777777" w:rsidR="00A47192" w:rsidRPr="00A47192" w:rsidRDefault="00A47192" w:rsidP="00A47192">
      <w:pPr>
        <w:numPr>
          <w:ilvl w:val="0"/>
          <w:numId w:val="24"/>
        </w:numPr>
        <w:overflowPunct/>
        <w:autoSpaceDE/>
        <w:autoSpaceDN/>
        <w:adjustRightInd/>
        <w:spacing w:after="0"/>
        <w:textAlignment w:val="auto"/>
        <w:rPr>
          <w:rFonts w:cs="Times"/>
          <w:sz w:val="24"/>
        </w:rPr>
      </w:pPr>
      <w:r w:rsidRPr="00A47192">
        <w:rPr>
          <w:rFonts w:cs="Times"/>
          <w:sz w:val="24"/>
        </w:rPr>
        <w:lastRenderedPageBreak/>
        <w:t xml:space="preserve">Discuss further on the detailed HARQ-ACK feedback with CBG in terms of TB level HARQ-ACK, HARQ-ACK bundling, HARQ-ACK composition, with consideration of overall HARQ-ACK codebook design. </w:t>
      </w:r>
    </w:p>
    <w:p w14:paraId="6451149B" w14:textId="77777777" w:rsidR="00A47192" w:rsidRPr="00A47192" w:rsidRDefault="00A47192" w:rsidP="00A47192">
      <w:pPr>
        <w:numPr>
          <w:ilvl w:val="0"/>
          <w:numId w:val="24"/>
        </w:numPr>
        <w:overflowPunct/>
        <w:autoSpaceDE/>
        <w:autoSpaceDN/>
        <w:adjustRightInd/>
        <w:spacing w:after="0"/>
        <w:textAlignment w:val="auto"/>
        <w:rPr>
          <w:rFonts w:cs="Times"/>
          <w:sz w:val="24"/>
        </w:rPr>
      </w:pPr>
      <w:r w:rsidRPr="00A47192">
        <w:rPr>
          <w:rFonts w:cs="Times"/>
          <w:sz w:val="24"/>
        </w:rPr>
        <w:t xml:space="preserve">Compressed </w:t>
      </w:r>
      <w:r w:rsidRPr="00A47192">
        <w:rPr>
          <w:rFonts w:cs="Times"/>
          <w:bCs/>
          <w:sz w:val="24"/>
        </w:rPr>
        <w:t>CBG level</w:t>
      </w:r>
      <w:r w:rsidRPr="00A47192">
        <w:rPr>
          <w:rFonts w:cs="Times"/>
          <w:sz w:val="24"/>
        </w:rPr>
        <w:t xml:space="preserve"> HARQ-ACK </w:t>
      </w:r>
      <w:r w:rsidRPr="00A47192">
        <w:rPr>
          <w:rFonts w:cs="Times"/>
          <w:bCs/>
          <w:sz w:val="24"/>
        </w:rPr>
        <w:t>feedback</w:t>
      </w:r>
      <w:r w:rsidRPr="00A47192">
        <w:rPr>
          <w:rFonts w:cs="Times"/>
          <w:sz w:val="24"/>
        </w:rPr>
        <w:t xml:space="preserve"> scheme except for HARQ-ACK bundling is not supported in Rel-15.</w:t>
      </w:r>
    </w:p>
    <w:p w14:paraId="159058FA" w14:textId="77777777" w:rsidR="00A47192" w:rsidRPr="00A47192" w:rsidRDefault="00A47192" w:rsidP="00A47192">
      <w:pPr>
        <w:numPr>
          <w:ilvl w:val="0"/>
          <w:numId w:val="24"/>
        </w:numPr>
        <w:overflowPunct/>
        <w:autoSpaceDE/>
        <w:autoSpaceDN/>
        <w:adjustRightInd/>
        <w:spacing w:after="0"/>
        <w:textAlignment w:val="auto"/>
        <w:rPr>
          <w:rFonts w:cs="Times"/>
          <w:sz w:val="24"/>
        </w:rPr>
      </w:pPr>
      <w:r w:rsidRPr="00A47192">
        <w:rPr>
          <w:rFonts w:cs="Times"/>
          <w:sz w:val="24"/>
        </w:rPr>
        <w:t>No additional CB grouping method is introduced in Rel-15.</w:t>
      </w:r>
    </w:p>
    <w:p w14:paraId="197352BD" w14:textId="77777777" w:rsidR="00A47192" w:rsidRDefault="00A47192" w:rsidP="00A47192">
      <w:pPr>
        <w:overflowPunct/>
        <w:autoSpaceDE/>
        <w:autoSpaceDN/>
        <w:adjustRightInd/>
        <w:spacing w:after="0"/>
        <w:textAlignment w:val="auto"/>
        <w:rPr>
          <w:sz w:val="24"/>
          <w:lang w:eastAsia="x-none"/>
        </w:rPr>
      </w:pPr>
    </w:p>
    <w:p w14:paraId="5DB21A0D" w14:textId="77777777" w:rsidR="00A47192" w:rsidRPr="00A47192" w:rsidRDefault="00A47192" w:rsidP="00A47192">
      <w:pPr>
        <w:overflowPunct/>
        <w:autoSpaceDE/>
        <w:autoSpaceDN/>
        <w:adjustRightInd/>
        <w:spacing w:after="0"/>
        <w:textAlignment w:val="auto"/>
        <w:rPr>
          <w:sz w:val="24"/>
          <w:lang w:eastAsia="x-none"/>
        </w:rPr>
      </w:pPr>
    </w:p>
    <w:p w14:paraId="54FD24E2" w14:textId="0D12889F"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 xml:space="preserve">In this contribution, we describe our views on </w:t>
      </w:r>
      <w:r w:rsidR="00C96684">
        <w:rPr>
          <w:sz w:val="24"/>
          <w:szCs w:val="24"/>
        </w:rPr>
        <w:t xml:space="preserve">HARQ-ACK transmission with CBG based retransmission. </w:t>
      </w:r>
      <w:r>
        <w:rPr>
          <w:sz w:val="24"/>
          <w:szCs w:val="24"/>
        </w:rPr>
        <w:t>.</w:t>
      </w:r>
    </w:p>
    <w:p w14:paraId="73859C79" w14:textId="77777777" w:rsidR="008A2A4F" w:rsidRDefault="008A2A4F" w:rsidP="008A2A4F">
      <w:pPr>
        <w:rPr>
          <w:lang w:val="en-GB"/>
        </w:rPr>
      </w:pPr>
    </w:p>
    <w:p w14:paraId="27D920D0" w14:textId="04ACA4A5" w:rsidR="00C63AC4" w:rsidRDefault="00C96684" w:rsidP="00C63AC4">
      <w:pPr>
        <w:pStyle w:val="Heading1"/>
      </w:pPr>
      <w:r>
        <w:t>U</w:t>
      </w:r>
      <w:r w:rsidR="00C63AC4">
        <w:t>plink Feedback Channel Structure for Indicating the HARQ-ACK for CBGs</w:t>
      </w:r>
    </w:p>
    <w:p w14:paraId="4FCC89AD" w14:textId="77777777" w:rsidR="00C63AC4" w:rsidRPr="006B1069" w:rsidRDefault="00C63AC4" w:rsidP="00C63AC4">
      <w:pPr>
        <w:jc w:val="both"/>
        <w:rPr>
          <w:color w:val="000000"/>
          <w:sz w:val="24"/>
          <w:shd w:val="clear" w:color="auto" w:fill="FFFFFF"/>
        </w:rPr>
      </w:pPr>
      <w:r w:rsidRPr="006B1069">
        <w:rPr>
          <w:color w:val="000000"/>
          <w:sz w:val="24"/>
          <w:shd w:val="clear" w:color="auto" w:fill="FFFFFF"/>
        </w:rPr>
        <w:t>In CBG based transmission, for indicating the HARQ-ACK it is agreed that the number of CBG HARQ ACK bits for a transport block is equal to that of the number of CBGs configured. As explained in [1], we recommend to use RRC configuration for indication of the number of CBGs, hence the number of HARQ ACK bits should be configured by RRC signaling. </w:t>
      </w:r>
    </w:p>
    <w:p w14:paraId="74CAA1F0" w14:textId="027B97EF" w:rsidR="00C63AC4" w:rsidRDefault="00C63AC4" w:rsidP="00C63AC4">
      <w:pPr>
        <w:jc w:val="both"/>
        <w:rPr>
          <w:color w:val="000000" w:themeColor="text1"/>
          <w:sz w:val="24"/>
          <w:szCs w:val="24"/>
          <w:lang w:val="en-GB"/>
        </w:rPr>
      </w:pPr>
      <w:r>
        <w:rPr>
          <w:color w:val="000000" w:themeColor="text1"/>
          <w:sz w:val="24"/>
          <w:szCs w:val="24"/>
          <w:lang w:val="en-GB"/>
        </w:rPr>
        <w:t xml:space="preserve">With multi </w:t>
      </w:r>
      <w:r w:rsidR="00C96684">
        <w:rPr>
          <w:color w:val="000000" w:themeColor="text1"/>
          <w:sz w:val="24"/>
          <w:szCs w:val="24"/>
          <w:lang w:val="en-GB"/>
        </w:rPr>
        <w:t>antenna CBG</w:t>
      </w:r>
      <w:r>
        <w:rPr>
          <w:color w:val="000000" w:themeColor="text1"/>
          <w:sz w:val="24"/>
          <w:szCs w:val="24"/>
          <w:lang w:val="en-GB"/>
        </w:rPr>
        <w:t xml:space="preserve"> based transmission, we prefer to have HARQ-ACK bits are defined for one codeword if the transmission rank is less than 4 and when the UE is scheduled with two codewords for 5-8 layer transmission, we prefer two sets of HARQ-ACK bits for their respective codewords as codeword bundling will nullify the gains achieved with CBG based transmissions.</w:t>
      </w:r>
    </w:p>
    <w:p w14:paraId="1CB36A34" w14:textId="77777777" w:rsidR="00C63AC4" w:rsidRDefault="00C63AC4" w:rsidP="00C63AC4">
      <w:pPr>
        <w:jc w:val="both"/>
        <w:rPr>
          <w:color w:val="000000" w:themeColor="text1"/>
          <w:sz w:val="24"/>
          <w:szCs w:val="24"/>
          <w:lang w:val="en-GB"/>
        </w:rPr>
      </w:pPr>
      <w:r>
        <w:rPr>
          <w:color w:val="000000" w:themeColor="text1"/>
          <w:sz w:val="24"/>
          <w:szCs w:val="24"/>
          <w:lang w:val="en-GB"/>
        </w:rPr>
        <w:t>Based on the discussion above, we envision two design options for uplink feedback channel design:</w:t>
      </w:r>
    </w:p>
    <w:p w14:paraId="29FE03AA" w14:textId="77777777" w:rsidR="00C63AC4" w:rsidRDefault="00C63AC4" w:rsidP="00C63AC4">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Pr="007A795E">
        <w:rPr>
          <w:rFonts w:ascii="Times New Roman" w:eastAsia="MS Mincho" w:hAnsi="Times New Roman"/>
          <w:b/>
          <w:iCs/>
          <w:sz w:val="24"/>
          <w:szCs w:val="24"/>
        </w:rPr>
        <w:t>Fixed structure for HARQ-ACK bits for CBGs:</w:t>
      </w:r>
      <w:r>
        <w:rPr>
          <w:rFonts w:ascii="Times New Roman" w:eastAsia="MS Mincho" w:hAnsi="Times New Roman"/>
          <w:iCs/>
          <w:sz w:val="24"/>
          <w:szCs w:val="24"/>
        </w:rPr>
        <w:t xml:space="preserve"> In this scheme the number of HARQ-ACK bits equal to the number of CBGs configured. This scheme is simple and is a direct extension of   HARQ-ACK for LTE for CBG. </w:t>
      </w:r>
    </w:p>
    <w:p w14:paraId="10DF6222" w14:textId="77777777" w:rsidR="00C63AC4" w:rsidRDefault="00C63AC4" w:rsidP="00C63AC4">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Pr="007A795E">
        <w:rPr>
          <w:rFonts w:ascii="Times New Roman" w:eastAsia="MS Mincho" w:hAnsi="Times New Roman"/>
          <w:b/>
          <w:iCs/>
          <w:sz w:val="24"/>
          <w:szCs w:val="24"/>
        </w:rPr>
        <w:t>Adaptive structure of HARQ-ACK bits for CBGs</w:t>
      </w:r>
      <w:r>
        <w:rPr>
          <w:rFonts w:ascii="Times New Roman" w:eastAsia="MS Mincho" w:hAnsi="Times New Roman"/>
          <w:iCs/>
          <w:sz w:val="24"/>
          <w:szCs w:val="24"/>
        </w:rPr>
        <w:t>:  In this scheme, instead of using fixed number of HARQ-ACK bits for CBGs, we use an additional TB level HARQ-ACK bit as shown in Figure 1, so that if the network detects this bit and say it is ACK, then it can neglect the contents of the other HARQ-ACK bits for CBGs as the TB is already passed. On the other hand, if the network detects TB level HARQ-ACK and determines that the TB is a NAK, then it needs to detect the CBG based HARQ-ACK bits to identify which CBGs are in error. In this way, we can reduce the signaling overhead for HARQ-ACK bits when the number of CBGs configured are large.</w:t>
      </w:r>
    </w:p>
    <w:tbl>
      <w:tblPr>
        <w:tblStyle w:val="TableGrid"/>
        <w:tblW w:w="9961" w:type="dxa"/>
        <w:shd w:val="clear" w:color="auto" w:fill="ED7D31" w:themeFill="accent2"/>
        <w:tblLook w:val="04A0" w:firstRow="1" w:lastRow="0" w:firstColumn="1" w:lastColumn="0" w:noHBand="0" w:noVBand="1"/>
      </w:tblPr>
      <w:tblGrid>
        <w:gridCol w:w="996"/>
        <w:gridCol w:w="996"/>
        <w:gridCol w:w="996"/>
        <w:gridCol w:w="996"/>
        <w:gridCol w:w="996"/>
        <w:gridCol w:w="996"/>
        <w:gridCol w:w="996"/>
        <w:gridCol w:w="996"/>
        <w:gridCol w:w="996"/>
        <w:gridCol w:w="997"/>
      </w:tblGrid>
      <w:tr w:rsidR="00C63AC4" w14:paraId="6C72390A" w14:textId="77777777" w:rsidTr="00306858">
        <w:tc>
          <w:tcPr>
            <w:tcW w:w="996" w:type="dxa"/>
            <w:shd w:val="clear" w:color="auto" w:fill="ED7D31" w:themeFill="accent2"/>
          </w:tcPr>
          <w:p w14:paraId="64C46FDE" w14:textId="77777777" w:rsidR="00C63AC4" w:rsidRDefault="00C63AC4" w:rsidP="00306858">
            <w:pPr>
              <w:rPr>
                <w:color w:val="000000" w:themeColor="text1"/>
                <w:sz w:val="24"/>
                <w:szCs w:val="24"/>
              </w:rPr>
            </w:pPr>
            <w:r>
              <w:rPr>
                <w:color w:val="000000" w:themeColor="text1"/>
                <w:sz w:val="24"/>
                <w:szCs w:val="24"/>
              </w:rPr>
              <w:t>TB HARQ-ACK</w:t>
            </w:r>
          </w:p>
        </w:tc>
        <w:tc>
          <w:tcPr>
            <w:tcW w:w="996" w:type="dxa"/>
            <w:shd w:val="clear" w:color="auto" w:fill="ED7D31" w:themeFill="accent2"/>
          </w:tcPr>
          <w:p w14:paraId="5F04765B" w14:textId="77777777" w:rsidR="00C63AC4" w:rsidRDefault="00C63AC4" w:rsidP="00306858">
            <w:pPr>
              <w:rPr>
                <w:color w:val="000000" w:themeColor="text1"/>
                <w:sz w:val="24"/>
                <w:szCs w:val="24"/>
              </w:rPr>
            </w:pPr>
            <w:r>
              <w:rPr>
                <w:color w:val="000000" w:themeColor="text1"/>
                <w:sz w:val="24"/>
                <w:szCs w:val="24"/>
              </w:rPr>
              <w:t>CBG1</w:t>
            </w:r>
          </w:p>
          <w:p w14:paraId="493D71AD" w14:textId="77777777" w:rsidR="00C63AC4" w:rsidRDefault="00C63AC4" w:rsidP="00306858">
            <w:pPr>
              <w:rPr>
                <w:color w:val="000000" w:themeColor="text1"/>
                <w:sz w:val="24"/>
                <w:szCs w:val="24"/>
              </w:rPr>
            </w:pPr>
            <w:r>
              <w:rPr>
                <w:color w:val="000000" w:themeColor="text1"/>
                <w:sz w:val="24"/>
                <w:szCs w:val="24"/>
              </w:rPr>
              <w:t>HARQ-ACK</w:t>
            </w:r>
          </w:p>
        </w:tc>
        <w:tc>
          <w:tcPr>
            <w:tcW w:w="996" w:type="dxa"/>
            <w:shd w:val="clear" w:color="auto" w:fill="ED7D31" w:themeFill="accent2"/>
          </w:tcPr>
          <w:p w14:paraId="553ED3E9" w14:textId="77777777" w:rsidR="00C63AC4" w:rsidRDefault="00C63AC4" w:rsidP="00306858">
            <w:pPr>
              <w:rPr>
                <w:color w:val="000000" w:themeColor="text1"/>
                <w:sz w:val="24"/>
                <w:szCs w:val="24"/>
              </w:rPr>
            </w:pPr>
            <w:r>
              <w:rPr>
                <w:color w:val="000000" w:themeColor="text1"/>
                <w:sz w:val="24"/>
                <w:szCs w:val="24"/>
              </w:rPr>
              <w:t>CBG2</w:t>
            </w:r>
          </w:p>
          <w:p w14:paraId="66547838" w14:textId="77777777" w:rsidR="00C63AC4" w:rsidRDefault="00C63AC4" w:rsidP="00306858">
            <w:pPr>
              <w:rPr>
                <w:color w:val="000000" w:themeColor="text1"/>
                <w:sz w:val="24"/>
                <w:szCs w:val="24"/>
              </w:rPr>
            </w:pPr>
            <w:r>
              <w:rPr>
                <w:color w:val="000000" w:themeColor="text1"/>
                <w:sz w:val="24"/>
                <w:szCs w:val="24"/>
              </w:rPr>
              <w:t>HARQ-ACK</w:t>
            </w:r>
          </w:p>
        </w:tc>
        <w:tc>
          <w:tcPr>
            <w:tcW w:w="996" w:type="dxa"/>
            <w:shd w:val="clear" w:color="auto" w:fill="ED7D31" w:themeFill="accent2"/>
          </w:tcPr>
          <w:p w14:paraId="5194EFBC" w14:textId="77777777" w:rsidR="00C63AC4" w:rsidRDefault="00C63AC4" w:rsidP="00306858">
            <w:pPr>
              <w:rPr>
                <w:color w:val="000000" w:themeColor="text1"/>
                <w:sz w:val="24"/>
                <w:szCs w:val="24"/>
              </w:rPr>
            </w:pPr>
            <w:r>
              <w:rPr>
                <w:color w:val="000000" w:themeColor="text1"/>
                <w:sz w:val="24"/>
                <w:szCs w:val="24"/>
              </w:rPr>
              <w:t>------</w:t>
            </w:r>
          </w:p>
        </w:tc>
        <w:tc>
          <w:tcPr>
            <w:tcW w:w="996" w:type="dxa"/>
            <w:shd w:val="clear" w:color="auto" w:fill="ED7D31" w:themeFill="accent2"/>
          </w:tcPr>
          <w:p w14:paraId="59BDCEA5" w14:textId="77777777" w:rsidR="00C63AC4" w:rsidRDefault="00C63AC4" w:rsidP="00306858">
            <w:pPr>
              <w:rPr>
                <w:color w:val="000000" w:themeColor="text1"/>
                <w:sz w:val="24"/>
                <w:szCs w:val="24"/>
              </w:rPr>
            </w:pPr>
            <w:r>
              <w:rPr>
                <w:color w:val="000000" w:themeColor="text1"/>
                <w:sz w:val="24"/>
                <w:szCs w:val="24"/>
              </w:rPr>
              <w:t>------</w:t>
            </w:r>
          </w:p>
        </w:tc>
        <w:tc>
          <w:tcPr>
            <w:tcW w:w="996" w:type="dxa"/>
            <w:shd w:val="clear" w:color="auto" w:fill="ED7D31" w:themeFill="accent2"/>
          </w:tcPr>
          <w:p w14:paraId="61AD777E" w14:textId="77777777" w:rsidR="00C63AC4" w:rsidRDefault="00C63AC4" w:rsidP="00306858">
            <w:pPr>
              <w:rPr>
                <w:color w:val="000000" w:themeColor="text1"/>
                <w:sz w:val="24"/>
                <w:szCs w:val="24"/>
              </w:rPr>
            </w:pPr>
            <w:r>
              <w:rPr>
                <w:color w:val="000000" w:themeColor="text1"/>
                <w:sz w:val="24"/>
                <w:szCs w:val="24"/>
              </w:rPr>
              <w:t>------</w:t>
            </w:r>
          </w:p>
        </w:tc>
        <w:tc>
          <w:tcPr>
            <w:tcW w:w="996" w:type="dxa"/>
            <w:shd w:val="clear" w:color="auto" w:fill="ED7D31" w:themeFill="accent2"/>
          </w:tcPr>
          <w:p w14:paraId="56CDF7A9" w14:textId="77777777" w:rsidR="00C63AC4" w:rsidRDefault="00C63AC4" w:rsidP="00306858">
            <w:pPr>
              <w:rPr>
                <w:color w:val="000000" w:themeColor="text1"/>
                <w:sz w:val="24"/>
                <w:szCs w:val="24"/>
              </w:rPr>
            </w:pPr>
            <w:r>
              <w:rPr>
                <w:color w:val="000000" w:themeColor="text1"/>
                <w:sz w:val="24"/>
                <w:szCs w:val="24"/>
              </w:rPr>
              <w:t>------</w:t>
            </w:r>
          </w:p>
        </w:tc>
        <w:tc>
          <w:tcPr>
            <w:tcW w:w="996" w:type="dxa"/>
            <w:shd w:val="clear" w:color="auto" w:fill="ED7D31" w:themeFill="accent2"/>
          </w:tcPr>
          <w:p w14:paraId="36A2F4E6" w14:textId="77777777" w:rsidR="00C63AC4" w:rsidRDefault="00C63AC4" w:rsidP="00306858">
            <w:pPr>
              <w:rPr>
                <w:color w:val="000000" w:themeColor="text1"/>
                <w:sz w:val="24"/>
                <w:szCs w:val="24"/>
              </w:rPr>
            </w:pPr>
            <w:r>
              <w:rPr>
                <w:color w:val="000000" w:themeColor="text1"/>
                <w:sz w:val="24"/>
                <w:szCs w:val="24"/>
              </w:rPr>
              <w:t>------</w:t>
            </w:r>
          </w:p>
        </w:tc>
        <w:tc>
          <w:tcPr>
            <w:tcW w:w="996" w:type="dxa"/>
            <w:shd w:val="clear" w:color="auto" w:fill="ED7D31" w:themeFill="accent2"/>
          </w:tcPr>
          <w:p w14:paraId="2499E19D" w14:textId="77777777" w:rsidR="00C63AC4" w:rsidRDefault="00C63AC4" w:rsidP="00306858">
            <w:pPr>
              <w:rPr>
                <w:color w:val="000000" w:themeColor="text1"/>
                <w:sz w:val="24"/>
                <w:szCs w:val="24"/>
              </w:rPr>
            </w:pPr>
            <w:r>
              <w:rPr>
                <w:color w:val="000000" w:themeColor="text1"/>
                <w:sz w:val="24"/>
                <w:szCs w:val="24"/>
              </w:rPr>
              <w:t>------</w:t>
            </w:r>
          </w:p>
        </w:tc>
        <w:tc>
          <w:tcPr>
            <w:tcW w:w="997" w:type="dxa"/>
            <w:shd w:val="clear" w:color="auto" w:fill="ED7D31" w:themeFill="accent2"/>
          </w:tcPr>
          <w:p w14:paraId="3E711781" w14:textId="77777777" w:rsidR="00C63AC4" w:rsidRDefault="00C63AC4" w:rsidP="00306858">
            <w:pPr>
              <w:rPr>
                <w:color w:val="000000" w:themeColor="text1"/>
                <w:sz w:val="24"/>
                <w:szCs w:val="24"/>
              </w:rPr>
            </w:pPr>
            <w:r>
              <w:rPr>
                <w:color w:val="000000" w:themeColor="text1"/>
                <w:sz w:val="24"/>
                <w:szCs w:val="24"/>
              </w:rPr>
              <w:t>CBGN</w:t>
            </w:r>
          </w:p>
          <w:p w14:paraId="139F970B" w14:textId="77777777" w:rsidR="00C63AC4" w:rsidRDefault="00C63AC4" w:rsidP="00306858">
            <w:pPr>
              <w:keepNext/>
              <w:rPr>
                <w:color w:val="000000" w:themeColor="text1"/>
                <w:sz w:val="24"/>
                <w:szCs w:val="24"/>
              </w:rPr>
            </w:pPr>
            <w:r>
              <w:rPr>
                <w:color w:val="000000" w:themeColor="text1"/>
                <w:sz w:val="24"/>
                <w:szCs w:val="24"/>
              </w:rPr>
              <w:t>HARQ-ACK</w:t>
            </w:r>
          </w:p>
        </w:tc>
      </w:tr>
    </w:tbl>
    <w:p w14:paraId="75032FBD" w14:textId="77777777" w:rsidR="00C63AC4" w:rsidRDefault="00C63AC4" w:rsidP="00C63AC4">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Adaptive HARQ-ACK structure</w:t>
      </w:r>
    </w:p>
    <w:p w14:paraId="164B5049" w14:textId="77777777" w:rsidR="00C63AC4" w:rsidRPr="00A70385" w:rsidRDefault="00C63AC4" w:rsidP="00C63AC4"/>
    <w:p w14:paraId="6253C647" w14:textId="0BA0C9F5" w:rsidR="00C63AC4" w:rsidRDefault="00C96684" w:rsidP="00C63AC4">
      <w:pPr>
        <w:jc w:val="both"/>
        <w:rPr>
          <w:color w:val="000000" w:themeColor="text1"/>
          <w:sz w:val="24"/>
          <w:szCs w:val="24"/>
        </w:rPr>
      </w:pPr>
      <w:r>
        <w:rPr>
          <w:color w:val="000000" w:themeColor="text1"/>
          <w:sz w:val="24"/>
          <w:szCs w:val="24"/>
        </w:rPr>
        <w:lastRenderedPageBreak/>
        <w:t>Note that with option 2 support of</w:t>
      </w:r>
      <w:r w:rsidR="00C63AC4">
        <w:rPr>
          <w:color w:val="000000" w:themeColor="text1"/>
          <w:sz w:val="24"/>
          <w:szCs w:val="24"/>
        </w:rPr>
        <w:t xml:space="preserve"> both TB level and CBG level HARQ-ACK and at the same time reduces the signaling overhead. </w:t>
      </w:r>
      <w:bookmarkStart w:id="1" w:name="_GoBack"/>
      <w:bookmarkEnd w:id="1"/>
    </w:p>
    <w:p w14:paraId="42EA6FC1" w14:textId="77777777" w:rsidR="00C63AC4" w:rsidRDefault="00C63AC4" w:rsidP="00C63AC4">
      <w:pPr>
        <w:contextualSpacing/>
        <w:rPr>
          <w:b/>
          <w:sz w:val="24"/>
          <w:szCs w:val="24"/>
        </w:rPr>
      </w:pPr>
      <w:r w:rsidRPr="0092108C">
        <w:rPr>
          <w:b/>
          <w:noProof/>
          <w:sz w:val="24"/>
          <w:szCs w:val="24"/>
        </w:rPr>
        <w:t>Proposal 1</w:t>
      </w:r>
      <w:r w:rsidRPr="0092108C">
        <w:rPr>
          <w:b/>
          <w:sz w:val="24"/>
          <w:szCs w:val="24"/>
        </w:rPr>
        <w:t>:</w:t>
      </w:r>
      <w:r>
        <w:rPr>
          <w:b/>
          <w:sz w:val="24"/>
          <w:szCs w:val="24"/>
        </w:rPr>
        <w:t xml:space="preserve"> We prefer an adaptive structure for indicating he HARQ-ACK for CBGs, which includes TB level HARQ-ACK in addition to CBG level HRQ-ACK </w:t>
      </w:r>
    </w:p>
    <w:p w14:paraId="36CE1069" w14:textId="77777777" w:rsidR="00C63AC4" w:rsidRDefault="00C63AC4" w:rsidP="00C63AC4">
      <w:pPr>
        <w:pStyle w:val="Heading1"/>
      </w:pPr>
      <w:r>
        <w:t xml:space="preserve">Reducing the Overhead for Uplink Feedback Channel </w:t>
      </w:r>
    </w:p>
    <w:p w14:paraId="1A58690F" w14:textId="77777777" w:rsidR="00C63AC4" w:rsidRPr="006B1069" w:rsidRDefault="00C63AC4" w:rsidP="00C63AC4">
      <w:pPr>
        <w:keepNext/>
        <w:jc w:val="both"/>
        <w:rPr>
          <w:noProof/>
          <w:color w:val="000000"/>
          <w:sz w:val="36"/>
          <w:szCs w:val="28"/>
          <w:lang w:eastAsia="sv-SE"/>
        </w:rPr>
      </w:pPr>
      <w:r w:rsidRPr="006B1069">
        <w:rPr>
          <w:color w:val="000000"/>
          <w:sz w:val="24"/>
          <w:shd w:val="clear" w:color="auto" w:fill="FFFFFF"/>
          <w:lang w:val="en-GB"/>
        </w:rPr>
        <w:t>Note that, with CBG based transmission the signaling overhead is very high if the number of CBGs configured is very high. To understand the HARQ statistics for CBG based transmission we show the link simulations with many code blocks. </w:t>
      </w:r>
      <w:r w:rsidRPr="006B1069">
        <w:rPr>
          <w:color w:val="000000"/>
          <w:sz w:val="24"/>
          <w:shd w:val="clear" w:color="auto" w:fill="FFFFFF"/>
        </w:rPr>
        <w:t>Figures 1, 2, and 3 shows the probability of failure of one codeblock segment while the rest of the codeblock segments are passed at 4.5 GHz frequency at high, medium and low SNRs respectively for 4X4 MIMO system.</w:t>
      </w:r>
      <w:r w:rsidRPr="006B1069">
        <w:rPr>
          <w:noProof/>
          <w:color w:val="000000"/>
          <w:sz w:val="36"/>
          <w:szCs w:val="28"/>
        </w:rPr>
        <w:drawing>
          <wp:inline distT="0" distB="0" distL="0" distR="0" wp14:anchorId="57B74F32" wp14:editId="2E660995">
            <wp:extent cx="5120640" cy="3840480"/>
            <wp:effectExtent l="0" t="0" r="3810" b="762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20640" cy="3840480"/>
                    </a:xfrm>
                    <a:prstGeom prst="rect">
                      <a:avLst/>
                    </a:prstGeom>
                  </pic:spPr>
                </pic:pic>
              </a:graphicData>
            </a:graphic>
          </wp:inline>
        </w:drawing>
      </w:r>
    </w:p>
    <w:p w14:paraId="4CC320EA" w14:textId="77777777" w:rsidR="00C63AC4" w:rsidRPr="006B1069" w:rsidRDefault="00C63AC4" w:rsidP="00C63AC4">
      <w:pPr>
        <w:keepNext/>
        <w:jc w:val="both"/>
        <w:rPr>
          <w:rFonts w:cs="Arial"/>
          <w:noProof/>
          <w:color w:val="000000"/>
          <w:sz w:val="28"/>
          <w:szCs w:val="28"/>
          <w:lang w:eastAsia="sv-SE"/>
        </w:rPr>
      </w:pPr>
    </w:p>
    <w:p w14:paraId="74D2A13F" w14:textId="77777777" w:rsidR="00C63AC4" w:rsidRPr="00F46E84" w:rsidRDefault="00C63AC4" w:rsidP="00C63AC4">
      <w:pPr>
        <w:pStyle w:val="Caption"/>
        <w:jc w:val="both"/>
        <w:rPr>
          <w:rFonts w:cs="Arial"/>
          <w:b w:val="0"/>
          <w:sz w:val="28"/>
          <w:szCs w:val="28"/>
        </w:rPr>
      </w:pPr>
      <w:r>
        <w:t xml:space="preserve">Figure 1 Probability of failure of only segments with </w:t>
      </w:r>
      <w:r w:rsidRPr="00BD1E12">
        <w:t xml:space="preserve">SNR = </w:t>
      </w:r>
      <w:r>
        <w:t>2</w:t>
      </w:r>
      <w:r w:rsidRPr="00BD1E12">
        <w:t>0 dB</w:t>
      </w:r>
      <w:r>
        <w:t xml:space="preserve"> as a function of speed </w:t>
      </w:r>
    </w:p>
    <w:p w14:paraId="4F80F1D6" w14:textId="77777777" w:rsidR="00C63AC4" w:rsidRDefault="00C63AC4" w:rsidP="00C63AC4">
      <w:pPr>
        <w:jc w:val="both"/>
        <w:rPr>
          <w:rFonts w:cs="Arial"/>
          <w:sz w:val="28"/>
          <w:szCs w:val="28"/>
        </w:rPr>
      </w:pPr>
    </w:p>
    <w:p w14:paraId="20CA73A3" w14:textId="77777777" w:rsidR="00C63AC4" w:rsidRDefault="00C63AC4" w:rsidP="00C63AC4">
      <w:pPr>
        <w:keepNext/>
        <w:jc w:val="both"/>
      </w:pPr>
      <w:r w:rsidRPr="004943BD">
        <w:rPr>
          <w:noProof/>
        </w:rPr>
        <w:lastRenderedPageBreak/>
        <w:drawing>
          <wp:inline distT="0" distB="0" distL="0" distR="0" wp14:anchorId="1B8A597F" wp14:editId="259811BD">
            <wp:extent cx="5120640" cy="3840480"/>
            <wp:effectExtent l="0" t="0" r="3810" b="762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20640" cy="3840480"/>
                    </a:xfrm>
                    <a:prstGeom prst="rect">
                      <a:avLst/>
                    </a:prstGeom>
                  </pic:spPr>
                </pic:pic>
              </a:graphicData>
            </a:graphic>
          </wp:inline>
        </w:drawing>
      </w:r>
    </w:p>
    <w:p w14:paraId="11C30657" w14:textId="77777777" w:rsidR="00C63AC4" w:rsidRPr="00F46E84" w:rsidRDefault="00C63AC4" w:rsidP="00C63AC4">
      <w:pPr>
        <w:pStyle w:val="Caption"/>
        <w:jc w:val="both"/>
        <w:rPr>
          <w:rFonts w:cs="Arial"/>
          <w:b w:val="0"/>
          <w:sz w:val="28"/>
          <w:szCs w:val="28"/>
        </w:rPr>
      </w:pPr>
      <w:r>
        <w:t xml:space="preserve">Figure 2 Probability of failure of only segments with </w:t>
      </w:r>
      <w:r w:rsidRPr="00BD1E12">
        <w:t xml:space="preserve">SNR = </w:t>
      </w:r>
      <w:r>
        <w:t>1</w:t>
      </w:r>
      <w:r w:rsidRPr="00BD1E12">
        <w:t>0 dB</w:t>
      </w:r>
      <w:r>
        <w:t xml:space="preserve"> as a function of speed</w:t>
      </w:r>
    </w:p>
    <w:p w14:paraId="01D6EE15" w14:textId="77777777" w:rsidR="00C63AC4" w:rsidRDefault="00C63AC4" w:rsidP="00C63AC4">
      <w:pPr>
        <w:pStyle w:val="Caption"/>
        <w:jc w:val="both"/>
      </w:pPr>
      <w:r w:rsidRPr="004943BD">
        <w:rPr>
          <w:noProof/>
        </w:rPr>
        <w:drawing>
          <wp:inline distT="0" distB="0" distL="0" distR="0" wp14:anchorId="55ED46C4" wp14:editId="0AC0B582">
            <wp:extent cx="5120640" cy="3840480"/>
            <wp:effectExtent l="0" t="0" r="3810" b="762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20640" cy="3840480"/>
                    </a:xfrm>
                    <a:prstGeom prst="rect">
                      <a:avLst/>
                    </a:prstGeom>
                  </pic:spPr>
                </pic:pic>
              </a:graphicData>
            </a:graphic>
          </wp:inline>
        </w:drawing>
      </w:r>
    </w:p>
    <w:p w14:paraId="2D785121" w14:textId="77777777" w:rsidR="00C63AC4" w:rsidRPr="00F46E84" w:rsidRDefault="00C63AC4" w:rsidP="00C63AC4">
      <w:pPr>
        <w:pStyle w:val="Caption"/>
        <w:jc w:val="both"/>
        <w:rPr>
          <w:rFonts w:cs="Arial"/>
          <w:b w:val="0"/>
          <w:sz w:val="28"/>
          <w:szCs w:val="28"/>
        </w:rPr>
      </w:pPr>
      <w:r>
        <w:t>Figure 3</w:t>
      </w:r>
      <w:r w:rsidRPr="00F46E84">
        <w:t xml:space="preserve"> </w:t>
      </w:r>
      <w:r>
        <w:t xml:space="preserve">Probability of failure of only segments with </w:t>
      </w:r>
      <w:r w:rsidRPr="00BD1E12">
        <w:t>SNR = 0 dB</w:t>
      </w:r>
      <w:r>
        <w:t xml:space="preserve"> as a function of speed</w:t>
      </w:r>
    </w:p>
    <w:p w14:paraId="7BCD2CFD" w14:textId="77777777" w:rsidR="00C63AC4" w:rsidRDefault="00C63AC4" w:rsidP="00C63AC4">
      <w:pPr>
        <w:jc w:val="both"/>
        <w:rPr>
          <w:color w:val="000000" w:themeColor="text1"/>
          <w:sz w:val="24"/>
          <w:szCs w:val="24"/>
        </w:rPr>
      </w:pPr>
    </w:p>
    <w:p w14:paraId="0943DA21" w14:textId="77777777" w:rsidR="00C63AC4" w:rsidRDefault="00C63AC4" w:rsidP="00C63AC4">
      <w:pPr>
        <w:jc w:val="both"/>
        <w:rPr>
          <w:rFonts w:cs="Arial"/>
          <w:sz w:val="24"/>
          <w:szCs w:val="28"/>
        </w:rPr>
      </w:pPr>
      <w:r w:rsidRPr="00E821CD">
        <w:rPr>
          <w:rFonts w:cs="Arial"/>
          <w:sz w:val="24"/>
          <w:szCs w:val="28"/>
        </w:rPr>
        <w:t>The probability of failure of only one segments increases with the speed at all ge</w:t>
      </w:r>
      <w:r>
        <w:rPr>
          <w:rFonts w:cs="Arial"/>
          <w:sz w:val="24"/>
          <w:szCs w:val="28"/>
        </w:rPr>
        <w:t xml:space="preserve">ometries. The same case applies for 2 code block segments etc. Note that the CBG based transmission is effective when the number of code blocks/CBGs which are in error is less. If more CBs/CBGS are in error, TB level HARQ-ACK procedure used for LTE system is beneficial in terms of signaling overhead. Hence we recommend that RAN1 should study options for reducing the HARQ-ACK overhead with CBG based transmission.  </w:t>
      </w:r>
    </w:p>
    <w:p w14:paraId="0B13CCFA" w14:textId="77777777" w:rsidR="00C63AC4" w:rsidRDefault="00C63AC4" w:rsidP="00C63AC4">
      <w:pPr>
        <w:contextualSpacing/>
        <w:rPr>
          <w:b/>
          <w:sz w:val="24"/>
          <w:szCs w:val="24"/>
        </w:rPr>
      </w:pPr>
      <w:r>
        <w:rPr>
          <w:b/>
          <w:noProof/>
          <w:sz w:val="24"/>
          <w:szCs w:val="24"/>
        </w:rPr>
        <w:t>Proposal 2</w:t>
      </w:r>
      <w:r w:rsidRPr="0092108C">
        <w:rPr>
          <w:b/>
          <w:sz w:val="24"/>
          <w:szCs w:val="24"/>
        </w:rPr>
        <w:t>:</w:t>
      </w:r>
      <w:r>
        <w:rPr>
          <w:b/>
          <w:sz w:val="24"/>
          <w:szCs w:val="24"/>
        </w:rPr>
        <w:t xml:space="preserve"> RAN1 should study schemes for reducing the signaling overhead for HARQ-ACK with CBG based transmission </w:t>
      </w:r>
    </w:p>
    <w:p w14:paraId="11AB5403" w14:textId="77777777" w:rsidR="00C63AC4" w:rsidRDefault="00C63AC4" w:rsidP="00C63AC4">
      <w:pPr>
        <w:jc w:val="both"/>
        <w:rPr>
          <w:rFonts w:cs="Arial"/>
          <w:sz w:val="24"/>
          <w:szCs w:val="28"/>
        </w:rPr>
      </w:pPr>
    </w:p>
    <w:p w14:paraId="74C2AB9D" w14:textId="77777777" w:rsidR="00C63AC4" w:rsidRDefault="00C63AC4" w:rsidP="00C63AC4">
      <w:pPr>
        <w:jc w:val="both"/>
        <w:rPr>
          <w:rFonts w:cs="Arial"/>
          <w:sz w:val="24"/>
          <w:szCs w:val="28"/>
        </w:rPr>
      </w:pPr>
      <w:r>
        <w:rPr>
          <w:rFonts w:cs="Arial"/>
          <w:sz w:val="24"/>
          <w:szCs w:val="28"/>
        </w:rPr>
        <w:t>For example, if the network configures the UE to report HARQ-ACK on CBGs when only one CBG is in error and say the value of N = 8. Then in legacy systems, we need to use 8 bits to indicate which CBGs are in error. However, since network configures the UE to report HARQ-ACK only when CBG is in error, it can use 3 bits to indicate which CBG is in error as shown in Table 1. Note that in this case TB level HARQ-ACK can be used to determine if all the CBGs are in error or error free.</w:t>
      </w:r>
    </w:p>
    <w:p w14:paraId="6B3E8C89" w14:textId="77777777" w:rsidR="00C63AC4" w:rsidRDefault="00C63AC4" w:rsidP="00C63AC4">
      <w:pPr>
        <w:tabs>
          <w:tab w:val="left" w:pos="360"/>
          <w:tab w:val="left" w:pos="540"/>
        </w:tabs>
        <w:jc w:val="both"/>
        <w:rPr>
          <w:sz w:val="28"/>
          <w:szCs w:val="28"/>
        </w:rPr>
      </w:pPr>
    </w:p>
    <w:p w14:paraId="59A25031" w14:textId="77777777" w:rsidR="00C63AC4" w:rsidRDefault="00C63AC4" w:rsidP="00C63AC4">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Proposed HARQ-ACK mapping for CBGs</w:t>
      </w:r>
    </w:p>
    <w:tbl>
      <w:tblPr>
        <w:tblStyle w:val="TableGrid"/>
        <w:tblW w:w="0" w:type="auto"/>
        <w:tblLook w:val="04A0" w:firstRow="1" w:lastRow="0" w:firstColumn="1" w:lastColumn="0" w:noHBand="0" w:noVBand="1"/>
      </w:tblPr>
      <w:tblGrid>
        <w:gridCol w:w="4606"/>
        <w:gridCol w:w="4606"/>
      </w:tblGrid>
      <w:tr w:rsidR="00C63AC4" w14:paraId="0E426BD4" w14:textId="77777777" w:rsidTr="00306858">
        <w:tc>
          <w:tcPr>
            <w:tcW w:w="4606" w:type="dxa"/>
          </w:tcPr>
          <w:p w14:paraId="42EB3B59" w14:textId="77777777" w:rsidR="00C63AC4" w:rsidRPr="0008780C" w:rsidRDefault="00C63AC4" w:rsidP="00306858">
            <w:pPr>
              <w:tabs>
                <w:tab w:val="left" w:pos="360"/>
                <w:tab w:val="left" w:pos="540"/>
              </w:tabs>
              <w:rPr>
                <w:b/>
                <w:sz w:val="28"/>
                <w:szCs w:val="28"/>
              </w:rPr>
            </w:pPr>
            <w:r>
              <w:rPr>
                <w:b/>
                <w:sz w:val="28"/>
                <w:szCs w:val="28"/>
              </w:rPr>
              <w:t>HARQ-ACK  bit combination</w:t>
            </w:r>
          </w:p>
        </w:tc>
        <w:tc>
          <w:tcPr>
            <w:tcW w:w="4606" w:type="dxa"/>
          </w:tcPr>
          <w:p w14:paraId="55508D1D" w14:textId="77777777" w:rsidR="00C63AC4" w:rsidRPr="0008780C" w:rsidRDefault="00C63AC4" w:rsidP="00306858">
            <w:pPr>
              <w:tabs>
                <w:tab w:val="left" w:pos="360"/>
                <w:tab w:val="left" w:pos="540"/>
              </w:tabs>
              <w:rPr>
                <w:b/>
                <w:sz w:val="28"/>
                <w:szCs w:val="28"/>
              </w:rPr>
            </w:pPr>
            <w:r>
              <w:rPr>
                <w:b/>
                <w:sz w:val="28"/>
                <w:szCs w:val="28"/>
              </w:rPr>
              <w:t xml:space="preserve">  CBG number which is a NAK</w:t>
            </w:r>
          </w:p>
        </w:tc>
      </w:tr>
      <w:tr w:rsidR="00C63AC4" w14:paraId="154635B2" w14:textId="77777777" w:rsidTr="00306858">
        <w:tc>
          <w:tcPr>
            <w:tcW w:w="4606" w:type="dxa"/>
          </w:tcPr>
          <w:p w14:paraId="252F52C6" w14:textId="77777777" w:rsidR="00C63AC4" w:rsidRDefault="00C63AC4" w:rsidP="00306858">
            <w:pPr>
              <w:tabs>
                <w:tab w:val="left" w:pos="360"/>
                <w:tab w:val="left" w:pos="540"/>
              </w:tabs>
              <w:rPr>
                <w:sz w:val="28"/>
                <w:szCs w:val="28"/>
              </w:rPr>
            </w:pPr>
            <w:r>
              <w:rPr>
                <w:sz w:val="28"/>
                <w:szCs w:val="28"/>
              </w:rPr>
              <w:t>001</w:t>
            </w:r>
          </w:p>
        </w:tc>
        <w:tc>
          <w:tcPr>
            <w:tcW w:w="4606" w:type="dxa"/>
          </w:tcPr>
          <w:p w14:paraId="23873698" w14:textId="77777777" w:rsidR="00C63AC4" w:rsidRDefault="00C63AC4" w:rsidP="00306858">
            <w:pPr>
              <w:tabs>
                <w:tab w:val="left" w:pos="360"/>
                <w:tab w:val="left" w:pos="540"/>
              </w:tabs>
              <w:rPr>
                <w:sz w:val="28"/>
                <w:szCs w:val="28"/>
              </w:rPr>
            </w:pPr>
            <w:r>
              <w:rPr>
                <w:sz w:val="28"/>
                <w:szCs w:val="28"/>
              </w:rPr>
              <w:t>1</w:t>
            </w:r>
          </w:p>
        </w:tc>
      </w:tr>
      <w:tr w:rsidR="00C63AC4" w14:paraId="32EA058C" w14:textId="77777777" w:rsidTr="00306858">
        <w:tc>
          <w:tcPr>
            <w:tcW w:w="4606" w:type="dxa"/>
          </w:tcPr>
          <w:p w14:paraId="4186A449" w14:textId="77777777" w:rsidR="00C63AC4" w:rsidRDefault="00C63AC4" w:rsidP="00306858">
            <w:pPr>
              <w:tabs>
                <w:tab w:val="left" w:pos="360"/>
                <w:tab w:val="left" w:pos="540"/>
              </w:tabs>
              <w:rPr>
                <w:sz w:val="28"/>
                <w:szCs w:val="28"/>
              </w:rPr>
            </w:pPr>
            <w:r>
              <w:rPr>
                <w:sz w:val="28"/>
                <w:szCs w:val="28"/>
              </w:rPr>
              <w:t>010</w:t>
            </w:r>
          </w:p>
        </w:tc>
        <w:tc>
          <w:tcPr>
            <w:tcW w:w="4606" w:type="dxa"/>
          </w:tcPr>
          <w:p w14:paraId="65596E51" w14:textId="77777777" w:rsidR="00C63AC4" w:rsidRDefault="00C63AC4" w:rsidP="00306858">
            <w:pPr>
              <w:tabs>
                <w:tab w:val="left" w:pos="360"/>
                <w:tab w:val="left" w:pos="540"/>
              </w:tabs>
              <w:rPr>
                <w:sz w:val="28"/>
                <w:szCs w:val="28"/>
              </w:rPr>
            </w:pPr>
            <w:r>
              <w:rPr>
                <w:sz w:val="28"/>
                <w:szCs w:val="28"/>
              </w:rPr>
              <w:t>2</w:t>
            </w:r>
          </w:p>
        </w:tc>
      </w:tr>
      <w:tr w:rsidR="00C63AC4" w14:paraId="70948D67" w14:textId="77777777" w:rsidTr="00306858">
        <w:tc>
          <w:tcPr>
            <w:tcW w:w="4606" w:type="dxa"/>
          </w:tcPr>
          <w:p w14:paraId="56E3A9D2" w14:textId="77777777" w:rsidR="00C63AC4" w:rsidRDefault="00C63AC4" w:rsidP="00306858">
            <w:pPr>
              <w:tabs>
                <w:tab w:val="left" w:pos="360"/>
                <w:tab w:val="left" w:pos="540"/>
              </w:tabs>
              <w:rPr>
                <w:sz w:val="28"/>
                <w:szCs w:val="28"/>
              </w:rPr>
            </w:pPr>
            <w:r>
              <w:rPr>
                <w:sz w:val="28"/>
                <w:szCs w:val="28"/>
              </w:rPr>
              <w:t>011</w:t>
            </w:r>
          </w:p>
        </w:tc>
        <w:tc>
          <w:tcPr>
            <w:tcW w:w="4606" w:type="dxa"/>
          </w:tcPr>
          <w:p w14:paraId="76F6AE95" w14:textId="77777777" w:rsidR="00C63AC4" w:rsidRDefault="00C63AC4" w:rsidP="00306858">
            <w:pPr>
              <w:tabs>
                <w:tab w:val="left" w:pos="360"/>
                <w:tab w:val="left" w:pos="540"/>
              </w:tabs>
              <w:rPr>
                <w:sz w:val="28"/>
                <w:szCs w:val="28"/>
              </w:rPr>
            </w:pPr>
            <w:r>
              <w:rPr>
                <w:sz w:val="28"/>
                <w:szCs w:val="28"/>
              </w:rPr>
              <w:t>3</w:t>
            </w:r>
          </w:p>
        </w:tc>
      </w:tr>
      <w:tr w:rsidR="00C63AC4" w14:paraId="1C710F72" w14:textId="77777777" w:rsidTr="00306858">
        <w:tc>
          <w:tcPr>
            <w:tcW w:w="4606" w:type="dxa"/>
          </w:tcPr>
          <w:p w14:paraId="0E018B40" w14:textId="77777777" w:rsidR="00C63AC4" w:rsidRDefault="00C63AC4" w:rsidP="00306858">
            <w:pPr>
              <w:tabs>
                <w:tab w:val="left" w:pos="360"/>
                <w:tab w:val="left" w:pos="540"/>
              </w:tabs>
              <w:rPr>
                <w:sz w:val="28"/>
                <w:szCs w:val="28"/>
              </w:rPr>
            </w:pPr>
            <w:r>
              <w:rPr>
                <w:sz w:val="28"/>
                <w:szCs w:val="28"/>
              </w:rPr>
              <w:t>100</w:t>
            </w:r>
          </w:p>
        </w:tc>
        <w:tc>
          <w:tcPr>
            <w:tcW w:w="4606" w:type="dxa"/>
          </w:tcPr>
          <w:p w14:paraId="6C47E034" w14:textId="77777777" w:rsidR="00C63AC4" w:rsidRDefault="00C63AC4" w:rsidP="00306858">
            <w:pPr>
              <w:tabs>
                <w:tab w:val="left" w:pos="360"/>
                <w:tab w:val="left" w:pos="540"/>
              </w:tabs>
              <w:rPr>
                <w:sz w:val="28"/>
                <w:szCs w:val="28"/>
              </w:rPr>
            </w:pPr>
            <w:r>
              <w:rPr>
                <w:sz w:val="28"/>
                <w:szCs w:val="28"/>
              </w:rPr>
              <w:t>4</w:t>
            </w:r>
          </w:p>
        </w:tc>
      </w:tr>
      <w:tr w:rsidR="00C63AC4" w14:paraId="0E630C08" w14:textId="77777777" w:rsidTr="00306858">
        <w:tc>
          <w:tcPr>
            <w:tcW w:w="4606" w:type="dxa"/>
          </w:tcPr>
          <w:p w14:paraId="386A5943" w14:textId="77777777" w:rsidR="00C63AC4" w:rsidRDefault="00C63AC4" w:rsidP="00306858">
            <w:pPr>
              <w:tabs>
                <w:tab w:val="left" w:pos="360"/>
                <w:tab w:val="left" w:pos="540"/>
              </w:tabs>
              <w:rPr>
                <w:sz w:val="28"/>
                <w:szCs w:val="28"/>
              </w:rPr>
            </w:pPr>
            <w:r>
              <w:rPr>
                <w:sz w:val="28"/>
                <w:szCs w:val="28"/>
              </w:rPr>
              <w:t>101</w:t>
            </w:r>
          </w:p>
        </w:tc>
        <w:tc>
          <w:tcPr>
            <w:tcW w:w="4606" w:type="dxa"/>
          </w:tcPr>
          <w:p w14:paraId="62EF38CD" w14:textId="77777777" w:rsidR="00C63AC4" w:rsidRDefault="00C63AC4" w:rsidP="00306858">
            <w:pPr>
              <w:tabs>
                <w:tab w:val="left" w:pos="360"/>
                <w:tab w:val="left" w:pos="540"/>
              </w:tabs>
              <w:rPr>
                <w:sz w:val="28"/>
                <w:szCs w:val="28"/>
              </w:rPr>
            </w:pPr>
            <w:r>
              <w:rPr>
                <w:sz w:val="28"/>
                <w:szCs w:val="28"/>
              </w:rPr>
              <w:t>5</w:t>
            </w:r>
          </w:p>
        </w:tc>
      </w:tr>
      <w:tr w:rsidR="00C63AC4" w14:paraId="113F4A69" w14:textId="77777777" w:rsidTr="00306858">
        <w:tc>
          <w:tcPr>
            <w:tcW w:w="4606" w:type="dxa"/>
          </w:tcPr>
          <w:p w14:paraId="08D1568B" w14:textId="77777777" w:rsidR="00C63AC4" w:rsidRDefault="00C63AC4" w:rsidP="00306858">
            <w:pPr>
              <w:tabs>
                <w:tab w:val="left" w:pos="360"/>
                <w:tab w:val="left" w:pos="540"/>
              </w:tabs>
              <w:rPr>
                <w:sz w:val="28"/>
                <w:szCs w:val="28"/>
              </w:rPr>
            </w:pPr>
            <w:r>
              <w:rPr>
                <w:sz w:val="28"/>
                <w:szCs w:val="28"/>
              </w:rPr>
              <w:t>110</w:t>
            </w:r>
          </w:p>
        </w:tc>
        <w:tc>
          <w:tcPr>
            <w:tcW w:w="4606" w:type="dxa"/>
          </w:tcPr>
          <w:p w14:paraId="61F1B87C" w14:textId="77777777" w:rsidR="00C63AC4" w:rsidRDefault="00C63AC4" w:rsidP="00306858">
            <w:pPr>
              <w:tabs>
                <w:tab w:val="left" w:pos="360"/>
                <w:tab w:val="left" w:pos="540"/>
              </w:tabs>
              <w:rPr>
                <w:sz w:val="28"/>
                <w:szCs w:val="28"/>
              </w:rPr>
            </w:pPr>
            <w:r>
              <w:rPr>
                <w:sz w:val="28"/>
                <w:szCs w:val="28"/>
              </w:rPr>
              <w:t>6</w:t>
            </w:r>
          </w:p>
        </w:tc>
      </w:tr>
      <w:tr w:rsidR="00C63AC4" w14:paraId="47E6AF90" w14:textId="77777777" w:rsidTr="00306858">
        <w:tc>
          <w:tcPr>
            <w:tcW w:w="4606" w:type="dxa"/>
          </w:tcPr>
          <w:p w14:paraId="44165E0F" w14:textId="77777777" w:rsidR="00C63AC4" w:rsidRDefault="00C63AC4" w:rsidP="00306858">
            <w:pPr>
              <w:tabs>
                <w:tab w:val="left" w:pos="360"/>
                <w:tab w:val="left" w:pos="540"/>
              </w:tabs>
              <w:rPr>
                <w:sz w:val="28"/>
                <w:szCs w:val="28"/>
              </w:rPr>
            </w:pPr>
            <w:r>
              <w:rPr>
                <w:sz w:val="28"/>
                <w:szCs w:val="28"/>
              </w:rPr>
              <w:t>111</w:t>
            </w:r>
          </w:p>
        </w:tc>
        <w:tc>
          <w:tcPr>
            <w:tcW w:w="4606" w:type="dxa"/>
          </w:tcPr>
          <w:p w14:paraId="29233CF8" w14:textId="77777777" w:rsidR="00C63AC4" w:rsidRDefault="00C63AC4" w:rsidP="00306858">
            <w:pPr>
              <w:tabs>
                <w:tab w:val="left" w:pos="360"/>
                <w:tab w:val="left" w:pos="540"/>
              </w:tabs>
              <w:rPr>
                <w:sz w:val="28"/>
                <w:szCs w:val="28"/>
              </w:rPr>
            </w:pPr>
            <w:r>
              <w:rPr>
                <w:sz w:val="28"/>
                <w:szCs w:val="28"/>
              </w:rPr>
              <w:t>7</w:t>
            </w:r>
          </w:p>
        </w:tc>
      </w:tr>
      <w:tr w:rsidR="00C63AC4" w14:paraId="1557ABC0" w14:textId="77777777" w:rsidTr="00306858">
        <w:tc>
          <w:tcPr>
            <w:tcW w:w="4606" w:type="dxa"/>
          </w:tcPr>
          <w:p w14:paraId="77EA0D5D" w14:textId="77777777" w:rsidR="00C63AC4" w:rsidRDefault="00C63AC4" w:rsidP="00306858">
            <w:pPr>
              <w:tabs>
                <w:tab w:val="left" w:pos="360"/>
                <w:tab w:val="left" w:pos="540"/>
              </w:tabs>
              <w:rPr>
                <w:sz w:val="28"/>
                <w:szCs w:val="28"/>
              </w:rPr>
            </w:pPr>
            <w:r>
              <w:rPr>
                <w:sz w:val="28"/>
                <w:szCs w:val="28"/>
              </w:rPr>
              <w:t>000</w:t>
            </w:r>
          </w:p>
        </w:tc>
        <w:tc>
          <w:tcPr>
            <w:tcW w:w="4606" w:type="dxa"/>
          </w:tcPr>
          <w:p w14:paraId="690F91C2" w14:textId="77777777" w:rsidR="00C63AC4" w:rsidRDefault="00C63AC4" w:rsidP="00306858">
            <w:pPr>
              <w:tabs>
                <w:tab w:val="left" w:pos="360"/>
                <w:tab w:val="left" w:pos="540"/>
              </w:tabs>
              <w:rPr>
                <w:sz w:val="28"/>
                <w:szCs w:val="28"/>
              </w:rPr>
            </w:pPr>
            <w:r>
              <w:rPr>
                <w:sz w:val="28"/>
                <w:szCs w:val="28"/>
              </w:rPr>
              <w:t>8</w:t>
            </w:r>
          </w:p>
        </w:tc>
      </w:tr>
    </w:tbl>
    <w:p w14:paraId="5F64AA48" w14:textId="77777777" w:rsidR="00C63AC4" w:rsidRDefault="00C63AC4" w:rsidP="00C63AC4">
      <w:pPr>
        <w:tabs>
          <w:tab w:val="left" w:pos="360"/>
          <w:tab w:val="left" w:pos="540"/>
        </w:tabs>
        <w:jc w:val="both"/>
        <w:rPr>
          <w:sz w:val="28"/>
          <w:szCs w:val="28"/>
        </w:rPr>
      </w:pPr>
    </w:p>
    <w:p w14:paraId="33E57B93" w14:textId="77777777" w:rsidR="00C63AC4" w:rsidRDefault="00C63AC4" w:rsidP="00C63AC4">
      <w:pPr>
        <w:jc w:val="both"/>
        <w:rPr>
          <w:rFonts w:cs="Arial"/>
          <w:sz w:val="24"/>
          <w:szCs w:val="28"/>
        </w:rPr>
      </w:pPr>
    </w:p>
    <w:p w14:paraId="05C29411" w14:textId="77777777" w:rsidR="00C63AC4" w:rsidRDefault="00C63AC4" w:rsidP="00C63AC4">
      <w:pPr>
        <w:pStyle w:val="Heading1"/>
      </w:pPr>
      <w:r>
        <w:lastRenderedPageBreak/>
        <w:t>Conclusions</w:t>
      </w:r>
    </w:p>
    <w:p w14:paraId="14B7059A" w14:textId="77777777" w:rsidR="00C63AC4" w:rsidRDefault="00C63AC4" w:rsidP="00C63AC4">
      <w:pPr>
        <w:jc w:val="both"/>
        <w:rPr>
          <w:sz w:val="24"/>
          <w:szCs w:val="24"/>
          <w:lang w:val="en-GB"/>
        </w:rPr>
      </w:pPr>
      <w:r w:rsidRPr="00183B2D">
        <w:rPr>
          <w:sz w:val="24"/>
          <w:szCs w:val="24"/>
          <w:lang w:val="en-GB"/>
        </w:rPr>
        <w:t>In this contribution</w:t>
      </w:r>
      <w:r>
        <w:rPr>
          <w:sz w:val="24"/>
          <w:szCs w:val="24"/>
          <w:lang w:val="en-GB"/>
        </w:rPr>
        <w:t>,</w:t>
      </w:r>
      <w:r w:rsidRPr="00183B2D">
        <w:rPr>
          <w:sz w:val="24"/>
          <w:szCs w:val="24"/>
          <w:lang w:val="en-GB"/>
        </w:rPr>
        <w:t xml:space="preserve"> </w:t>
      </w:r>
      <w:r>
        <w:rPr>
          <w:sz w:val="24"/>
          <w:szCs w:val="24"/>
          <w:lang w:val="en-GB"/>
        </w:rPr>
        <w:t xml:space="preserve">we presented our views on uplink feedback channel design with CBG based transmission.    Based on our observations, </w:t>
      </w:r>
    </w:p>
    <w:p w14:paraId="4C5EABFA" w14:textId="77777777" w:rsidR="00C63AC4" w:rsidRPr="005C1BF7" w:rsidRDefault="00C63AC4" w:rsidP="00C63AC4">
      <w:pPr>
        <w:tabs>
          <w:tab w:val="left" w:pos="3548"/>
        </w:tabs>
        <w:rPr>
          <w:sz w:val="24"/>
          <w:szCs w:val="24"/>
          <w:lang w:val="en-GB"/>
        </w:rPr>
      </w:pPr>
      <w:r w:rsidRPr="005C1BF7">
        <w:rPr>
          <w:sz w:val="24"/>
          <w:szCs w:val="24"/>
          <w:lang w:val="en-GB"/>
        </w:rPr>
        <w:t>We have the following proposal:</w:t>
      </w:r>
    </w:p>
    <w:p w14:paraId="66F87726" w14:textId="77777777" w:rsidR="00C63AC4" w:rsidRDefault="00C63AC4" w:rsidP="00C63AC4">
      <w:pPr>
        <w:contextualSpacing/>
        <w:rPr>
          <w:b/>
          <w:sz w:val="24"/>
          <w:szCs w:val="24"/>
        </w:rPr>
      </w:pPr>
      <w:r w:rsidRPr="0092108C">
        <w:rPr>
          <w:b/>
          <w:noProof/>
          <w:sz w:val="24"/>
          <w:szCs w:val="24"/>
        </w:rPr>
        <w:t>Proposal 1</w:t>
      </w:r>
      <w:r w:rsidRPr="0092108C">
        <w:rPr>
          <w:b/>
          <w:sz w:val="24"/>
          <w:szCs w:val="24"/>
        </w:rPr>
        <w:t>:</w:t>
      </w:r>
      <w:r>
        <w:rPr>
          <w:b/>
          <w:sz w:val="24"/>
          <w:szCs w:val="24"/>
        </w:rPr>
        <w:t xml:space="preserve"> We prefer an adaptive structure for indicating he HARQ-ACK for CBGs, which includes TB level HARQ-ACK in addition to CBG level HRQ-ACK </w:t>
      </w:r>
    </w:p>
    <w:p w14:paraId="64FFEB22" w14:textId="77777777" w:rsidR="00C63AC4" w:rsidRDefault="00C63AC4" w:rsidP="00C63AC4">
      <w:pPr>
        <w:contextualSpacing/>
        <w:rPr>
          <w:b/>
          <w:sz w:val="24"/>
          <w:szCs w:val="24"/>
        </w:rPr>
      </w:pPr>
    </w:p>
    <w:p w14:paraId="48EC5AA2" w14:textId="77777777" w:rsidR="00C63AC4" w:rsidRDefault="00C63AC4" w:rsidP="00C63AC4">
      <w:pPr>
        <w:contextualSpacing/>
        <w:rPr>
          <w:b/>
          <w:sz w:val="24"/>
          <w:szCs w:val="24"/>
        </w:rPr>
      </w:pPr>
      <w:r>
        <w:rPr>
          <w:b/>
          <w:noProof/>
          <w:sz w:val="24"/>
          <w:szCs w:val="24"/>
        </w:rPr>
        <w:t>Proposal 2</w:t>
      </w:r>
      <w:r w:rsidRPr="0092108C">
        <w:rPr>
          <w:b/>
          <w:sz w:val="24"/>
          <w:szCs w:val="24"/>
        </w:rPr>
        <w:t>:</w:t>
      </w:r>
      <w:r>
        <w:rPr>
          <w:b/>
          <w:sz w:val="24"/>
          <w:szCs w:val="24"/>
        </w:rPr>
        <w:t xml:space="preserve"> RAN1 should study schemes for reducing the signaling overhead for HARQ-ACK with CBG based transmission </w:t>
      </w:r>
    </w:p>
    <w:p w14:paraId="2E5DC62E" w14:textId="77777777" w:rsidR="00C63AC4" w:rsidRDefault="00C63AC4" w:rsidP="00C63AC4">
      <w:pPr>
        <w:contextualSpacing/>
        <w:rPr>
          <w:b/>
          <w:sz w:val="24"/>
          <w:szCs w:val="24"/>
        </w:rPr>
      </w:pPr>
    </w:p>
    <w:p w14:paraId="5E889792" w14:textId="77777777" w:rsidR="00C63AC4" w:rsidRDefault="00C63AC4" w:rsidP="00C63AC4">
      <w:pPr>
        <w:pStyle w:val="Heading1"/>
      </w:pPr>
      <w:r>
        <w:t xml:space="preserve">References </w:t>
      </w:r>
    </w:p>
    <w:p w14:paraId="392B931B" w14:textId="77777777" w:rsidR="00C63AC4" w:rsidRPr="005C1BF7" w:rsidRDefault="00C63AC4" w:rsidP="00C63AC4">
      <w:pPr>
        <w:jc w:val="both"/>
        <w:rPr>
          <w:sz w:val="24"/>
          <w:szCs w:val="24"/>
          <w:lang w:val="en-GB"/>
        </w:rPr>
      </w:pPr>
      <w:r>
        <w:rPr>
          <w:sz w:val="24"/>
          <w:szCs w:val="24"/>
          <w:lang w:val="en-GB"/>
        </w:rPr>
        <w:t>[1]. R1-1710442, On CBG constriction for NR PDSCH and PUSCH, AT&amp;T.</w:t>
      </w:r>
    </w:p>
    <w:p w14:paraId="571C0E20" w14:textId="77777777" w:rsidR="008A2A4F" w:rsidRPr="00C63AC4" w:rsidRDefault="008A2A4F" w:rsidP="00423D74">
      <w:pPr>
        <w:contextualSpacing/>
        <w:rPr>
          <w:b/>
          <w:sz w:val="24"/>
          <w:szCs w:val="24"/>
          <w:lang w:val="en-GB"/>
        </w:rPr>
      </w:pPr>
    </w:p>
    <w:p w14:paraId="6A56D443" w14:textId="77777777" w:rsidR="008A2A4F" w:rsidRDefault="008A2A4F" w:rsidP="00423D74">
      <w:pPr>
        <w:contextualSpacing/>
        <w:rPr>
          <w:b/>
          <w:sz w:val="24"/>
          <w:szCs w:val="24"/>
        </w:rPr>
      </w:pPr>
    </w:p>
    <w:p w14:paraId="201A0B19" w14:textId="77777777" w:rsidR="008A2A4F" w:rsidRDefault="008A2A4F" w:rsidP="00423D74">
      <w:pPr>
        <w:contextualSpacing/>
        <w:rPr>
          <w:b/>
          <w:sz w:val="24"/>
          <w:szCs w:val="24"/>
        </w:rPr>
      </w:pPr>
    </w:p>
    <w:p w14:paraId="404071D9" w14:textId="77777777" w:rsidR="00903573" w:rsidRDefault="00903573" w:rsidP="00DE4B5B">
      <w:pPr>
        <w:keepNext/>
      </w:pPr>
      <w:bookmarkStart w:id="2" w:name="_Ref378529477"/>
    </w:p>
    <w:p w14:paraId="035C5D24" w14:textId="77777777" w:rsidR="00B47DC1" w:rsidRDefault="00B47DC1" w:rsidP="00B47DC1">
      <w:pPr>
        <w:pStyle w:val="ListParagraph"/>
        <w:ind w:left="567"/>
        <w:rPr>
          <w:rFonts w:ascii="Times New Roman" w:eastAsia="SimSun" w:hAnsi="Times New Roman"/>
          <w:sz w:val="24"/>
          <w:szCs w:val="24"/>
        </w:rPr>
      </w:pPr>
      <w:bookmarkStart w:id="3" w:name="_Ref450342757"/>
      <w:bookmarkEnd w:id="2"/>
    </w:p>
    <w:p w14:paraId="096DD040" w14:textId="77777777" w:rsidR="008F49D1" w:rsidRPr="000F70D6" w:rsidRDefault="008F49D1" w:rsidP="00474038">
      <w:pPr>
        <w:pStyle w:val="ListParagraph"/>
        <w:ind w:left="567"/>
        <w:rPr>
          <w:rFonts w:ascii="Times New Roman" w:eastAsia="SimSun" w:hAnsi="Times New Roman"/>
          <w:sz w:val="24"/>
          <w:szCs w:val="24"/>
        </w:rPr>
      </w:pPr>
    </w:p>
    <w:bookmarkEnd w:id="3"/>
    <w:p w14:paraId="54DAD422" w14:textId="77777777" w:rsidR="001D7377" w:rsidRPr="00F51ABC" w:rsidRDefault="001D7377" w:rsidP="001D7377">
      <w:pPr>
        <w:rPr>
          <w:color w:val="FF0000"/>
          <w:lang w:val="en-GB"/>
        </w:rPr>
      </w:pPr>
    </w:p>
    <w:p w14:paraId="6A08EE9F" w14:textId="77777777"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F7570" w14:textId="77777777" w:rsidR="00A61BCE" w:rsidRDefault="00A61BCE" w:rsidP="00A03DF3">
      <w:pPr>
        <w:spacing w:after="0"/>
      </w:pPr>
      <w:r>
        <w:separator/>
      </w:r>
    </w:p>
  </w:endnote>
  <w:endnote w:type="continuationSeparator" w:id="0">
    <w:p w14:paraId="6ADF8680" w14:textId="77777777" w:rsidR="00A61BCE" w:rsidRDefault="00A61BC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0C99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30C30"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8CAA0"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9668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668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6BAEB" w14:textId="77777777" w:rsidR="00A61BCE" w:rsidRDefault="00A61BCE" w:rsidP="00A03DF3">
      <w:pPr>
        <w:spacing w:after="0"/>
      </w:pPr>
      <w:r>
        <w:separator/>
      </w:r>
    </w:p>
  </w:footnote>
  <w:footnote w:type="continuationSeparator" w:id="0">
    <w:p w14:paraId="2DF7AD69" w14:textId="77777777" w:rsidR="00A61BCE" w:rsidRDefault="00A61BC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32612"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054958"/>
    <w:multiLevelType w:val="hybridMultilevel"/>
    <w:tmpl w:val="E6201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
  </w:num>
  <w:num w:numId="3">
    <w:abstractNumId w:val="10"/>
  </w:num>
  <w:num w:numId="4">
    <w:abstractNumId w:val="3"/>
  </w:num>
  <w:num w:numId="5">
    <w:abstractNumId w:val="9"/>
  </w:num>
  <w:num w:numId="6">
    <w:abstractNumId w:val="4"/>
  </w:num>
  <w:num w:numId="7">
    <w:abstractNumId w:val="11"/>
  </w:num>
  <w:num w:numId="8">
    <w:abstractNumId w:val="16"/>
  </w:num>
  <w:num w:numId="9">
    <w:abstractNumId w:val="6"/>
  </w:num>
  <w:num w:numId="10">
    <w:abstractNumId w:val="12"/>
  </w:num>
  <w:num w:numId="11">
    <w:abstractNumId w:val="22"/>
  </w:num>
  <w:num w:numId="12">
    <w:abstractNumId w:val="19"/>
  </w:num>
  <w:num w:numId="13">
    <w:abstractNumId w:val="14"/>
  </w:num>
  <w:num w:numId="14">
    <w:abstractNumId w:val="18"/>
  </w:num>
  <w:num w:numId="15">
    <w:abstractNumId w:val="7"/>
  </w:num>
  <w:num w:numId="16">
    <w:abstractNumId w:val="5"/>
  </w:num>
  <w:num w:numId="17">
    <w:abstractNumId w:val="8"/>
  </w:num>
  <w:num w:numId="18">
    <w:abstractNumId w:val="13"/>
  </w:num>
  <w:num w:numId="19">
    <w:abstractNumId w:val="17"/>
  </w:num>
  <w:num w:numId="20">
    <w:abstractNumId w:val="23"/>
  </w:num>
  <w:num w:numId="21">
    <w:abstractNumId w:val="21"/>
  </w:num>
  <w:num w:numId="22">
    <w:abstractNumId w:val="20"/>
  </w:num>
  <w:num w:numId="23">
    <w:abstractNumId w:val="15"/>
  </w:num>
  <w:num w:numId="2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3767"/>
    <w:rsid w:val="00047A27"/>
    <w:rsid w:val="00060D91"/>
    <w:rsid w:val="00063362"/>
    <w:rsid w:val="00065BCB"/>
    <w:rsid w:val="00070271"/>
    <w:rsid w:val="000729CF"/>
    <w:rsid w:val="00077861"/>
    <w:rsid w:val="0008103A"/>
    <w:rsid w:val="00082F4F"/>
    <w:rsid w:val="000848FB"/>
    <w:rsid w:val="000A3623"/>
    <w:rsid w:val="000A5138"/>
    <w:rsid w:val="000C31DD"/>
    <w:rsid w:val="000C42E1"/>
    <w:rsid w:val="000D44F2"/>
    <w:rsid w:val="000E0E39"/>
    <w:rsid w:val="000E3E8D"/>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50F00"/>
    <w:rsid w:val="00151B4B"/>
    <w:rsid w:val="001625C3"/>
    <w:rsid w:val="0016333E"/>
    <w:rsid w:val="001711C0"/>
    <w:rsid w:val="001738F0"/>
    <w:rsid w:val="00183B2D"/>
    <w:rsid w:val="00184167"/>
    <w:rsid w:val="00185817"/>
    <w:rsid w:val="001A19A7"/>
    <w:rsid w:val="001A4F2A"/>
    <w:rsid w:val="001B362A"/>
    <w:rsid w:val="001B62B5"/>
    <w:rsid w:val="001C0C74"/>
    <w:rsid w:val="001C62F5"/>
    <w:rsid w:val="001D4E16"/>
    <w:rsid w:val="001D7377"/>
    <w:rsid w:val="001E0FE1"/>
    <w:rsid w:val="001E1248"/>
    <w:rsid w:val="001E7474"/>
    <w:rsid w:val="001E76F1"/>
    <w:rsid w:val="00200F94"/>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64F9F"/>
    <w:rsid w:val="003702F2"/>
    <w:rsid w:val="003709E5"/>
    <w:rsid w:val="00372B0E"/>
    <w:rsid w:val="0037349B"/>
    <w:rsid w:val="0037686B"/>
    <w:rsid w:val="0037788F"/>
    <w:rsid w:val="003778D9"/>
    <w:rsid w:val="00382E4B"/>
    <w:rsid w:val="00384F13"/>
    <w:rsid w:val="00386534"/>
    <w:rsid w:val="00386B9D"/>
    <w:rsid w:val="00393BA1"/>
    <w:rsid w:val="003967CC"/>
    <w:rsid w:val="003A6F05"/>
    <w:rsid w:val="003B08A8"/>
    <w:rsid w:val="003B11C5"/>
    <w:rsid w:val="003C04C9"/>
    <w:rsid w:val="003C1FBC"/>
    <w:rsid w:val="003C6822"/>
    <w:rsid w:val="003C7092"/>
    <w:rsid w:val="003C71AC"/>
    <w:rsid w:val="003D2FF5"/>
    <w:rsid w:val="003D51ED"/>
    <w:rsid w:val="003F3BD7"/>
    <w:rsid w:val="003F54E8"/>
    <w:rsid w:val="003F644A"/>
    <w:rsid w:val="00400A08"/>
    <w:rsid w:val="00413433"/>
    <w:rsid w:val="0041405C"/>
    <w:rsid w:val="0041500F"/>
    <w:rsid w:val="00416778"/>
    <w:rsid w:val="00416848"/>
    <w:rsid w:val="0041687B"/>
    <w:rsid w:val="00417010"/>
    <w:rsid w:val="00420425"/>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20B4"/>
    <w:rsid w:val="004D338B"/>
    <w:rsid w:val="004E24E6"/>
    <w:rsid w:val="004E3753"/>
    <w:rsid w:val="004E4A4E"/>
    <w:rsid w:val="0051043F"/>
    <w:rsid w:val="00510EB5"/>
    <w:rsid w:val="00514EB0"/>
    <w:rsid w:val="00526E57"/>
    <w:rsid w:val="00534474"/>
    <w:rsid w:val="005352FA"/>
    <w:rsid w:val="00537F8E"/>
    <w:rsid w:val="00543B21"/>
    <w:rsid w:val="005457DF"/>
    <w:rsid w:val="00547C78"/>
    <w:rsid w:val="0055021B"/>
    <w:rsid w:val="005544EC"/>
    <w:rsid w:val="0055694F"/>
    <w:rsid w:val="00566BF8"/>
    <w:rsid w:val="005720AE"/>
    <w:rsid w:val="005732D3"/>
    <w:rsid w:val="0058545D"/>
    <w:rsid w:val="00594E1F"/>
    <w:rsid w:val="005B2A8C"/>
    <w:rsid w:val="005C0F42"/>
    <w:rsid w:val="005C1BF7"/>
    <w:rsid w:val="005E49C7"/>
    <w:rsid w:val="005F0C73"/>
    <w:rsid w:val="005F2BEE"/>
    <w:rsid w:val="005F49BE"/>
    <w:rsid w:val="005F69AE"/>
    <w:rsid w:val="0060173F"/>
    <w:rsid w:val="00602FF2"/>
    <w:rsid w:val="0061290E"/>
    <w:rsid w:val="00614653"/>
    <w:rsid w:val="0062050D"/>
    <w:rsid w:val="00624D17"/>
    <w:rsid w:val="00626CD3"/>
    <w:rsid w:val="00633D91"/>
    <w:rsid w:val="00644086"/>
    <w:rsid w:val="0064614A"/>
    <w:rsid w:val="00647AF1"/>
    <w:rsid w:val="00652AD8"/>
    <w:rsid w:val="00653B6D"/>
    <w:rsid w:val="00656324"/>
    <w:rsid w:val="006577D9"/>
    <w:rsid w:val="006625D4"/>
    <w:rsid w:val="006645C6"/>
    <w:rsid w:val="00664678"/>
    <w:rsid w:val="006667BE"/>
    <w:rsid w:val="00667EDB"/>
    <w:rsid w:val="00674ED6"/>
    <w:rsid w:val="00680F31"/>
    <w:rsid w:val="006865FE"/>
    <w:rsid w:val="00690312"/>
    <w:rsid w:val="00691783"/>
    <w:rsid w:val="006A4ACB"/>
    <w:rsid w:val="006A53E5"/>
    <w:rsid w:val="006A5DD2"/>
    <w:rsid w:val="006A6E0A"/>
    <w:rsid w:val="006B101C"/>
    <w:rsid w:val="006B5540"/>
    <w:rsid w:val="006C32C4"/>
    <w:rsid w:val="006C6647"/>
    <w:rsid w:val="006D3D50"/>
    <w:rsid w:val="006F5982"/>
    <w:rsid w:val="006F72BF"/>
    <w:rsid w:val="0070008A"/>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64D8"/>
    <w:rsid w:val="0078261D"/>
    <w:rsid w:val="00786FCF"/>
    <w:rsid w:val="007877F2"/>
    <w:rsid w:val="00790961"/>
    <w:rsid w:val="00791AC3"/>
    <w:rsid w:val="007945A4"/>
    <w:rsid w:val="0079557E"/>
    <w:rsid w:val="0079585A"/>
    <w:rsid w:val="007A4702"/>
    <w:rsid w:val="007A6469"/>
    <w:rsid w:val="007B3085"/>
    <w:rsid w:val="007B3DE9"/>
    <w:rsid w:val="007B574D"/>
    <w:rsid w:val="007B6F7A"/>
    <w:rsid w:val="007C1666"/>
    <w:rsid w:val="007C274D"/>
    <w:rsid w:val="007C3EFD"/>
    <w:rsid w:val="007D435A"/>
    <w:rsid w:val="007D5904"/>
    <w:rsid w:val="007D6B66"/>
    <w:rsid w:val="007E1F1B"/>
    <w:rsid w:val="007E5506"/>
    <w:rsid w:val="0081279A"/>
    <w:rsid w:val="00816FB9"/>
    <w:rsid w:val="00825D7A"/>
    <w:rsid w:val="00825EC8"/>
    <w:rsid w:val="00827552"/>
    <w:rsid w:val="008305FD"/>
    <w:rsid w:val="00841D9F"/>
    <w:rsid w:val="00843B1D"/>
    <w:rsid w:val="0084437D"/>
    <w:rsid w:val="00844CF1"/>
    <w:rsid w:val="00853FE2"/>
    <w:rsid w:val="00855739"/>
    <w:rsid w:val="00860E8A"/>
    <w:rsid w:val="0086141D"/>
    <w:rsid w:val="00863643"/>
    <w:rsid w:val="008645B9"/>
    <w:rsid w:val="008743C6"/>
    <w:rsid w:val="00876F81"/>
    <w:rsid w:val="008779BD"/>
    <w:rsid w:val="00881B50"/>
    <w:rsid w:val="00883F0F"/>
    <w:rsid w:val="00892F50"/>
    <w:rsid w:val="008930A9"/>
    <w:rsid w:val="008A05E9"/>
    <w:rsid w:val="008A2A4F"/>
    <w:rsid w:val="008A70D6"/>
    <w:rsid w:val="008A7C64"/>
    <w:rsid w:val="008B03C7"/>
    <w:rsid w:val="008B7E92"/>
    <w:rsid w:val="008C12F4"/>
    <w:rsid w:val="008C4C93"/>
    <w:rsid w:val="008C7323"/>
    <w:rsid w:val="008D4FAE"/>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7554"/>
    <w:rsid w:val="00917961"/>
    <w:rsid w:val="0092108C"/>
    <w:rsid w:val="00923046"/>
    <w:rsid w:val="00924AF9"/>
    <w:rsid w:val="00926445"/>
    <w:rsid w:val="00935907"/>
    <w:rsid w:val="009444F6"/>
    <w:rsid w:val="009477DD"/>
    <w:rsid w:val="00950AF4"/>
    <w:rsid w:val="00961690"/>
    <w:rsid w:val="00964DE7"/>
    <w:rsid w:val="00965D45"/>
    <w:rsid w:val="009714DC"/>
    <w:rsid w:val="0097200D"/>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103E"/>
    <w:rsid w:val="00A42970"/>
    <w:rsid w:val="00A43533"/>
    <w:rsid w:val="00A45013"/>
    <w:rsid w:val="00A45CAD"/>
    <w:rsid w:val="00A462B3"/>
    <w:rsid w:val="00A47192"/>
    <w:rsid w:val="00A50E1C"/>
    <w:rsid w:val="00A56D69"/>
    <w:rsid w:val="00A61BCE"/>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3563"/>
    <w:rsid w:val="00B54F62"/>
    <w:rsid w:val="00B7005D"/>
    <w:rsid w:val="00B70D99"/>
    <w:rsid w:val="00B74C3C"/>
    <w:rsid w:val="00B82AA0"/>
    <w:rsid w:val="00B82F38"/>
    <w:rsid w:val="00B865C9"/>
    <w:rsid w:val="00B86C48"/>
    <w:rsid w:val="00B91E13"/>
    <w:rsid w:val="00B929CF"/>
    <w:rsid w:val="00B9611D"/>
    <w:rsid w:val="00BB273F"/>
    <w:rsid w:val="00BB3F49"/>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63AC4"/>
    <w:rsid w:val="00C76A83"/>
    <w:rsid w:val="00C879FC"/>
    <w:rsid w:val="00C90AC8"/>
    <w:rsid w:val="00C929FB"/>
    <w:rsid w:val="00C9597D"/>
    <w:rsid w:val="00C96684"/>
    <w:rsid w:val="00CA0134"/>
    <w:rsid w:val="00CA45CC"/>
    <w:rsid w:val="00CA5FB4"/>
    <w:rsid w:val="00CB06F2"/>
    <w:rsid w:val="00CB3C38"/>
    <w:rsid w:val="00CB5E6A"/>
    <w:rsid w:val="00CB7ACA"/>
    <w:rsid w:val="00CC3CDF"/>
    <w:rsid w:val="00CC6914"/>
    <w:rsid w:val="00CD20E4"/>
    <w:rsid w:val="00CD3D71"/>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8436C"/>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3398"/>
    <w:rsid w:val="00E14120"/>
    <w:rsid w:val="00E16CB7"/>
    <w:rsid w:val="00E20C3E"/>
    <w:rsid w:val="00E22BCB"/>
    <w:rsid w:val="00E27D48"/>
    <w:rsid w:val="00E3160A"/>
    <w:rsid w:val="00E3250E"/>
    <w:rsid w:val="00E421AA"/>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0F37"/>
    <w:rsid w:val="00E71722"/>
    <w:rsid w:val="00E72CE0"/>
    <w:rsid w:val="00E7453F"/>
    <w:rsid w:val="00E80B50"/>
    <w:rsid w:val="00E821CD"/>
    <w:rsid w:val="00E82275"/>
    <w:rsid w:val="00E8259C"/>
    <w:rsid w:val="00E82924"/>
    <w:rsid w:val="00E83B6E"/>
    <w:rsid w:val="00E84501"/>
    <w:rsid w:val="00E91703"/>
    <w:rsid w:val="00E96EC3"/>
    <w:rsid w:val="00EA0BD3"/>
    <w:rsid w:val="00EA64BD"/>
    <w:rsid w:val="00EB2825"/>
    <w:rsid w:val="00EB29A4"/>
    <w:rsid w:val="00EB3387"/>
    <w:rsid w:val="00EB513C"/>
    <w:rsid w:val="00EB5891"/>
    <w:rsid w:val="00EB6F52"/>
    <w:rsid w:val="00EC05AE"/>
    <w:rsid w:val="00EC770D"/>
    <w:rsid w:val="00EE0BDA"/>
    <w:rsid w:val="00EE3C5F"/>
    <w:rsid w:val="00EE40A9"/>
    <w:rsid w:val="00EE57C5"/>
    <w:rsid w:val="00EF5054"/>
    <w:rsid w:val="00EF79DC"/>
    <w:rsid w:val="00EF7E19"/>
    <w:rsid w:val="00F03AAA"/>
    <w:rsid w:val="00F040B2"/>
    <w:rsid w:val="00F04CDB"/>
    <w:rsid w:val="00F10225"/>
    <w:rsid w:val="00F13661"/>
    <w:rsid w:val="00F143FB"/>
    <w:rsid w:val="00F14F36"/>
    <w:rsid w:val="00F22E4F"/>
    <w:rsid w:val="00F33557"/>
    <w:rsid w:val="00F35AC7"/>
    <w:rsid w:val="00F3760A"/>
    <w:rsid w:val="00F40497"/>
    <w:rsid w:val="00F5337B"/>
    <w:rsid w:val="00F53929"/>
    <w:rsid w:val="00F55138"/>
    <w:rsid w:val="00F639AE"/>
    <w:rsid w:val="00F652BF"/>
    <w:rsid w:val="00F670FA"/>
    <w:rsid w:val="00F67A74"/>
    <w:rsid w:val="00F74309"/>
    <w:rsid w:val="00F76EF1"/>
    <w:rsid w:val="00F77E99"/>
    <w:rsid w:val="00F809C6"/>
    <w:rsid w:val="00F8520B"/>
    <w:rsid w:val="00F85BFC"/>
    <w:rsid w:val="00F87E38"/>
    <w:rsid w:val="00F91CB3"/>
    <w:rsid w:val="00F925DE"/>
    <w:rsid w:val="00F93D60"/>
    <w:rsid w:val="00FA1E70"/>
    <w:rsid w:val="00FA537C"/>
    <w:rsid w:val="00FA546C"/>
    <w:rsid w:val="00FA6652"/>
    <w:rsid w:val="00FB10A8"/>
    <w:rsid w:val="00FB1B76"/>
    <w:rsid w:val="00FB356F"/>
    <w:rsid w:val="00FD0BC3"/>
    <w:rsid w:val="00FD18E4"/>
    <w:rsid w:val="00FD1A5A"/>
    <w:rsid w:val="00FD6E38"/>
    <w:rsid w:val="00FE1FAC"/>
    <w:rsid w:val="00FF23D8"/>
    <w:rsid w:val="00FF34EA"/>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9B3F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 w:type="paragraph" w:customStyle="1" w:styleId="TAL">
    <w:name w:val="TAL"/>
    <w:basedOn w:val="Normal"/>
    <w:link w:val="TALChar"/>
    <w:rsid w:val="00E83B6E"/>
    <w:pPr>
      <w:keepNext/>
      <w:keepLines/>
      <w:overflowPunct/>
      <w:autoSpaceDE/>
      <w:autoSpaceDN/>
      <w:adjustRightInd/>
      <w:spacing w:after="0"/>
      <w:textAlignment w:val="auto"/>
    </w:pPr>
    <w:rPr>
      <w:rFonts w:ascii="Arial" w:eastAsia="Times New Roman" w:hAnsi="Arial"/>
      <w:sz w:val="18"/>
      <w:lang w:val="en-GB"/>
    </w:rPr>
  </w:style>
  <w:style w:type="character" w:customStyle="1" w:styleId="TALChar">
    <w:name w:val="TAL Char"/>
    <w:link w:val="TAL"/>
    <w:rsid w:val="00E83B6E"/>
    <w:rPr>
      <w:rFonts w:ascii="Arial" w:eastAsia="Times New Roman" w:hAnsi="Arial" w:cs="Times New Roman"/>
      <w:sz w:val="18"/>
      <w:szCs w:val="20"/>
      <w:lang w:val="en-GB"/>
    </w:rPr>
  </w:style>
  <w:style w:type="character" w:customStyle="1" w:styleId="TAHCar">
    <w:name w:val="TAH Car"/>
    <w:link w:val="TAH"/>
    <w:rsid w:val="00E83B6E"/>
    <w:rPr>
      <w:rFonts w:ascii="Arial" w:eastAsia="Times New Roman" w:hAnsi="Arial" w:cs="Times New Roman"/>
      <w:b/>
      <w:sz w:val="18"/>
      <w:szCs w:val="20"/>
      <w:lang w:val="en-GB"/>
    </w:rPr>
  </w:style>
  <w:style w:type="character" w:styleId="CommentReference">
    <w:name w:val="annotation reference"/>
    <w:rsid w:val="008A2A4F"/>
    <w:rPr>
      <w:sz w:val="16"/>
      <w:szCs w:val="16"/>
    </w:rPr>
  </w:style>
  <w:style w:type="paragraph" w:styleId="CommentText">
    <w:name w:val="annotation text"/>
    <w:basedOn w:val="Normal"/>
    <w:link w:val="CommentTextChar"/>
    <w:uiPriority w:val="99"/>
    <w:rsid w:val="008A2A4F"/>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rsid w:val="008A2A4F"/>
    <w:rPr>
      <w:rFonts w:ascii="Times New Roman" w:eastAsia="Times New Roman" w:hAnsi="Times New Roman" w:cs="Times New Roman"/>
      <w:sz w:val="20"/>
      <w:szCs w:val="20"/>
      <w:lang w:val="x-none"/>
    </w:rPr>
  </w:style>
  <w:style w:type="paragraph" w:customStyle="1" w:styleId="textintend2">
    <w:name w:val="text intend 2"/>
    <w:basedOn w:val="Text"/>
    <w:rsid w:val="008A2A4F"/>
    <w:pPr>
      <w:keepLines w:val="0"/>
      <w:numPr>
        <w:numId w:val="20"/>
      </w:numPr>
      <w:tabs>
        <w:tab w:val="clear" w:pos="2552"/>
        <w:tab w:val="clear" w:pos="3856"/>
        <w:tab w:val="clear" w:pos="5216"/>
        <w:tab w:val="clear" w:pos="6464"/>
        <w:tab w:val="clear" w:pos="7768"/>
        <w:tab w:val="clear" w:pos="9072"/>
        <w:tab w:val="clear" w:pos="9639"/>
      </w:tabs>
      <w:overflowPunct w:val="0"/>
      <w:autoSpaceDE w:val="0"/>
      <w:autoSpaceDN w:val="0"/>
      <w:adjustRightInd w:val="0"/>
      <w:spacing w:after="120"/>
      <w:jc w:val="both"/>
      <w:textAlignment w:val="baseline"/>
    </w:pPr>
    <w:rPr>
      <w:rFonts w:ascii="Times New Roman" w:eastAsia="MS Mincho" w:hAnsi="Times New Roman"/>
      <w:sz w:val="24"/>
      <w:lang w:eastAsia="en-GB"/>
    </w:rPr>
  </w:style>
  <w:style w:type="paragraph" w:styleId="BalloonText">
    <w:name w:val="Balloon Text"/>
    <w:basedOn w:val="Normal"/>
    <w:link w:val="BalloonTextChar"/>
    <w:uiPriority w:val="99"/>
    <w:semiHidden/>
    <w:unhideWhenUsed/>
    <w:rsid w:val="00C9668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4"/>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9C2F-3F76-4CE9-B140-73F7906D9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6</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156</cp:revision>
  <dcterms:created xsi:type="dcterms:W3CDTF">2017-03-24T11:25:00Z</dcterms:created>
  <dcterms:modified xsi:type="dcterms:W3CDTF">2017-11-17T18:53:00Z</dcterms:modified>
</cp:coreProperties>
</file>